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theme="minorEastAsia"/>
          <w:color w:val="auto"/>
          <w:sz w:val="44"/>
          <w:szCs w:val="44"/>
          <w:lang w:eastAsia="zh-CN"/>
        </w:rPr>
      </w:pPr>
    </w:p>
    <w:p>
      <w:pPr>
        <w:jc w:val="center"/>
        <w:rPr>
          <w:rFonts w:hint="eastAsia" w:ascii="Arial" w:hAnsi="Arial" w:eastAsia="黑体" w:cs="Arial"/>
          <w:color w:val="auto"/>
          <w:sz w:val="44"/>
          <w:szCs w:val="44"/>
          <w:lang w:eastAsia="zh-CN"/>
        </w:rPr>
      </w:pPr>
      <w:r>
        <w:rPr>
          <w:rFonts w:hint="eastAsia" w:ascii="黑体" w:hAnsi="黑体" w:eastAsia="黑体" w:cstheme="minorEastAsia"/>
          <w:color w:val="auto"/>
          <w:sz w:val="44"/>
          <w:szCs w:val="44"/>
          <w:lang w:eastAsia="zh-CN"/>
        </w:rPr>
        <w:t>襄垣</w:t>
      </w:r>
      <w:r>
        <w:rPr>
          <w:rFonts w:hint="eastAsia" w:ascii="黑体" w:hAnsi="黑体" w:eastAsia="黑体" w:cstheme="minorEastAsia"/>
          <w:color w:val="auto"/>
          <w:sz w:val="44"/>
          <w:szCs w:val="44"/>
        </w:rPr>
        <w:t>县</w:t>
      </w:r>
      <w:r>
        <w:rPr>
          <w:rFonts w:hint="eastAsia" w:ascii="Arial" w:hAnsi="Arial" w:eastAsia="黑体" w:cs="Arial"/>
          <w:color w:val="auto"/>
          <w:sz w:val="44"/>
          <w:szCs w:val="44"/>
          <w:lang w:eastAsia="zh-CN"/>
        </w:rPr>
        <w:t>文物博物馆</w:t>
      </w:r>
    </w:p>
    <w:p>
      <w:pPr>
        <w:jc w:val="center"/>
        <w:rPr>
          <w:rFonts w:ascii="黑体" w:hAnsi="黑体" w:eastAsia="黑体" w:cstheme="minorEastAsia"/>
          <w:color w:val="auto"/>
          <w:sz w:val="44"/>
          <w:szCs w:val="44"/>
        </w:rPr>
      </w:pPr>
      <w:r>
        <w:rPr>
          <w:rFonts w:hint="eastAsia" w:ascii="黑体" w:hAnsi="黑体" w:eastAsia="黑体" w:cstheme="minorEastAsia"/>
          <w:color w:val="auto"/>
          <w:sz w:val="44"/>
          <w:szCs w:val="44"/>
        </w:rPr>
        <w:t>20</w:t>
      </w:r>
      <w:r>
        <w:rPr>
          <w:rFonts w:hint="eastAsia" w:ascii="黑体" w:hAnsi="黑体" w:eastAsia="黑体" w:cstheme="minorEastAsia"/>
          <w:color w:val="auto"/>
          <w:sz w:val="44"/>
          <w:szCs w:val="44"/>
          <w:lang w:val="en-US" w:eastAsia="zh-CN"/>
        </w:rPr>
        <w:t>20</w:t>
      </w:r>
      <w:r>
        <w:rPr>
          <w:rFonts w:hint="eastAsia" w:ascii="黑体" w:hAnsi="黑体" w:eastAsia="黑体" w:cstheme="minorEastAsia"/>
          <w:color w:val="auto"/>
          <w:sz w:val="44"/>
          <w:szCs w:val="44"/>
        </w:rPr>
        <w:t>年部门</w:t>
      </w:r>
      <w:r>
        <w:rPr>
          <w:rFonts w:hint="eastAsia" w:ascii="黑体" w:hAnsi="黑体" w:eastAsia="黑体" w:cstheme="minorEastAsia"/>
          <w:color w:val="auto"/>
          <w:sz w:val="44"/>
          <w:szCs w:val="44"/>
          <w:lang w:eastAsia="zh-CN"/>
        </w:rPr>
        <w:t>预算</w:t>
      </w:r>
      <w:r>
        <w:rPr>
          <w:rFonts w:hint="eastAsia" w:ascii="黑体" w:hAnsi="黑体" w:eastAsia="黑体" w:cstheme="minorEastAsia"/>
          <w:color w:val="auto"/>
          <w:sz w:val="44"/>
          <w:szCs w:val="44"/>
        </w:rPr>
        <w:t>公开</w:t>
      </w:r>
      <w:r>
        <w:rPr>
          <w:rFonts w:hint="eastAsia" w:ascii="黑体" w:hAnsi="黑体" w:eastAsia="黑体" w:cstheme="minorEastAsia"/>
          <w:color w:val="auto"/>
          <w:sz w:val="44"/>
          <w:szCs w:val="44"/>
          <w:lang w:eastAsia="zh-CN"/>
        </w:rPr>
        <w:t>情况</w:t>
      </w:r>
      <w:r>
        <w:rPr>
          <w:rFonts w:hint="eastAsia" w:ascii="黑体" w:hAnsi="黑体" w:eastAsia="黑体" w:cstheme="minorEastAsia"/>
          <w:color w:val="auto"/>
          <w:sz w:val="44"/>
          <w:szCs w:val="44"/>
        </w:rPr>
        <w:t>说明</w:t>
      </w:r>
    </w:p>
    <w:p>
      <w:pPr>
        <w:ind w:firstLine="640" w:firstLineChars="200"/>
        <w:rPr>
          <w:rFonts w:asciiTheme="minorEastAsia" w:hAnsiTheme="minorEastAsia" w:cstheme="minorEastAsia"/>
          <w:color w:val="auto"/>
          <w:sz w:val="32"/>
          <w:szCs w:val="32"/>
        </w:rPr>
      </w:pPr>
      <w:r>
        <w:rPr>
          <w:rFonts w:hint="eastAsia" w:asciiTheme="minorEastAsia" w:hAnsiTheme="minorEastAsia" w:cstheme="minorEastAsia"/>
          <w:color w:val="auto"/>
          <w:sz w:val="32"/>
          <w:szCs w:val="32"/>
        </w:rPr>
        <w:t xml:space="preserve"> </w:t>
      </w:r>
    </w:p>
    <w:p>
      <w:pPr>
        <w:ind w:firstLine="643" w:firstLineChars="200"/>
        <w:rPr>
          <w:rFonts w:hint="eastAsia" w:ascii="楷体" w:hAnsi="楷体" w:eastAsia="楷体" w:cstheme="minorEastAsia"/>
          <w:b/>
          <w:bCs w:val="0"/>
          <w:color w:val="auto"/>
          <w:sz w:val="32"/>
          <w:szCs w:val="32"/>
        </w:rPr>
      </w:pPr>
      <w:r>
        <w:rPr>
          <w:rFonts w:hint="eastAsia" w:ascii="楷体" w:hAnsi="楷体" w:eastAsia="楷体" w:cstheme="minorEastAsia"/>
          <w:b/>
          <w:bCs w:val="0"/>
          <w:color w:val="auto"/>
          <w:sz w:val="32"/>
          <w:szCs w:val="32"/>
        </w:rPr>
        <w:t>一、部门主要职能</w:t>
      </w:r>
    </w:p>
    <w:p>
      <w:pPr>
        <w:ind w:firstLine="640" w:firstLineChars="200"/>
        <w:rPr>
          <w:rFonts w:hint="eastAsia" w:ascii="宋体" w:hAnsi="宋体"/>
          <w:b/>
          <w:color w:val="auto"/>
          <w:sz w:val="28"/>
          <w:szCs w:val="28"/>
        </w:rPr>
      </w:pPr>
      <w:r>
        <w:rPr>
          <w:rFonts w:hint="eastAsia" w:ascii="仿宋" w:hAnsi="仿宋" w:eastAsia="仿宋" w:cs="仿宋"/>
          <w:color w:val="auto"/>
          <w:kern w:val="0"/>
          <w:sz w:val="32"/>
          <w:szCs w:val="32"/>
          <w:lang w:val="en-US" w:eastAsia="zh-CN" w:bidi="ar"/>
        </w:rPr>
        <w:t>襄垣县文物博物馆隶属于县文化和旅游局，具体承担我县所有不可移动文物和可移动文物的保护及考古、调查、发掘、勘探、</w:t>
      </w:r>
      <w:r>
        <w:rPr>
          <w:rFonts w:hint="eastAsia" w:ascii="仿宋" w:hAnsi="仿宋" w:eastAsia="仿宋" w:cs="仿宋"/>
          <w:b w:val="0"/>
          <w:bCs w:val="0"/>
          <w:i w:val="0"/>
          <w:caps w:val="0"/>
          <w:color w:val="auto"/>
          <w:spacing w:val="0"/>
          <w:sz w:val="32"/>
          <w:szCs w:val="32"/>
          <w:shd w:val="clear" w:fill="FFFFFF"/>
          <w:lang w:val="en-US" w:eastAsia="zh-CN"/>
        </w:rPr>
        <w:t>“三防”、保密</w:t>
      </w:r>
      <w:r>
        <w:rPr>
          <w:rFonts w:hint="eastAsia" w:ascii="仿宋" w:hAnsi="仿宋" w:eastAsia="仿宋" w:cs="仿宋"/>
          <w:color w:val="auto"/>
          <w:kern w:val="0"/>
          <w:sz w:val="32"/>
          <w:szCs w:val="32"/>
          <w:lang w:val="en-US" w:eastAsia="zh-CN" w:bidi="ar"/>
        </w:rPr>
        <w:t>等工作。</w:t>
      </w:r>
    </w:p>
    <w:p>
      <w:pPr>
        <w:ind w:firstLine="643" w:firstLineChars="200"/>
        <w:rPr>
          <w:rFonts w:ascii="楷体" w:hAnsi="楷体" w:eastAsia="楷体" w:cstheme="minorEastAsia"/>
          <w:b/>
          <w:bCs w:val="0"/>
          <w:color w:val="auto"/>
          <w:sz w:val="32"/>
          <w:szCs w:val="32"/>
        </w:rPr>
      </w:pPr>
      <w:r>
        <w:rPr>
          <w:rFonts w:hint="eastAsia" w:ascii="楷体" w:hAnsi="楷体" w:eastAsia="楷体" w:cstheme="minorEastAsia"/>
          <w:b/>
          <w:bCs w:val="0"/>
          <w:color w:val="auto"/>
          <w:sz w:val="32"/>
          <w:szCs w:val="32"/>
        </w:rPr>
        <w:t>二、部门基本情况</w:t>
      </w:r>
    </w:p>
    <w:p>
      <w:pPr>
        <w:widowControl/>
        <w:spacing w:line="324" w:lineRule="atLeast"/>
        <w:ind w:left="540"/>
        <w:jc w:val="left"/>
        <w:rPr>
          <w:rFonts w:hint="eastAsia" w:ascii="仿宋_GB2312" w:hAnsi="楷体" w:eastAsia="仿宋_GB2312" w:cs="宋体"/>
          <w:b w:val="0"/>
          <w:bCs/>
          <w:color w:val="auto"/>
          <w:kern w:val="0"/>
          <w:sz w:val="18"/>
          <w:szCs w:val="18"/>
          <w:lang w:eastAsia="zh-CN"/>
        </w:rPr>
      </w:pPr>
      <w:r>
        <w:rPr>
          <w:rFonts w:hint="eastAsia" w:ascii="仿宋_GB2312" w:hAnsi="楷体" w:eastAsia="仿宋_GB2312" w:cs="宋体"/>
          <w:b w:val="0"/>
          <w:bCs/>
          <w:color w:val="auto"/>
          <w:kern w:val="0"/>
          <w:sz w:val="32"/>
          <w:szCs w:val="32"/>
        </w:rPr>
        <w:t>（一）</w:t>
      </w:r>
      <w:r>
        <w:rPr>
          <w:rFonts w:hint="eastAsia" w:ascii="仿宋_GB2312" w:hAnsi="楷体" w:eastAsia="仿宋_GB2312" w:cs="宋体"/>
          <w:b w:val="0"/>
          <w:bCs/>
          <w:color w:val="auto"/>
          <w:kern w:val="0"/>
          <w:sz w:val="32"/>
          <w:szCs w:val="32"/>
          <w:lang w:eastAsia="zh-CN"/>
        </w:rPr>
        <w:t>机构设置情况</w:t>
      </w:r>
    </w:p>
    <w:p>
      <w:pPr>
        <w:ind w:firstLine="645"/>
        <w:rPr>
          <w:rFonts w:hint="eastAsia" w:ascii="仿宋" w:hAnsi="仿宋" w:eastAsia="仿宋" w:cs="仿宋_GB2312"/>
          <w:color w:val="auto"/>
          <w:kern w:val="2"/>
          <w:sz w:val="30"/>
          <w:szCs w:val="30"/>
          <w:lang w:val="en-US" w:eastAsia="zh-CN" w:bidi="ar"/>
        </w:rPr>
      </w:pPr>
      <w:r>
        <w:rPr>
          <w:rFonts w:hint="eastAsia" w:ascii="仿宋" w:hAnsi="仿宋" w:eastAsia="仿宋" w:cs="仿宋"/>
          <w:color w:val="auto"/>
          <w:kern w:val="0"/>
          <w:sz w:val="32"/>
          <w:szCs w:val="32"/>
          <w:lang w:val="en-US" w:eastAsia="zh-CN" w:bidi="ar"/>
        </w:rPr>
        <w:t>襄垣县文物博物馆下设：办公室、综合科、财务科3个科室。</w:t>
      </w:r>
    </w:p>
    <w:p>
      <w:pPr>
        <w:widowControl/>
        <w:spacing w:line="324" w:lineRule="atLeast"/>
        <w:ind w:left="540"/>
        <w:jc w:val="left"/>
        <w:rPr>
          <w:rFonts w:ascii="仿宋_GB2312" w:hAnsi="楷体" w:eastAsia="仿宋_GB2312" w:cs="宋体"/>
          <w:b w:val="0"/>
          <w:bCs/>
          <w:color w:val="auto"/>
          <w:kern w:val="0"/>
          <w:sz w:val="32"/>
          <w:szCs w:val="32"/>
        </w:rPr>
      </w:pPr>
      <w:r>
        <w:rPr>
          <w:rFonts w:hint="eastAsia" w:ascii="仿宋_GB2312" w:hAnsi="楷体" w:eastAsia="仿宋_GB2312" w:cs="宋体"/>
          <w:b w:val="0"/>
          <w:bCs/>
          <w:color w:val="auto"/>
          <w:kern w:val="0"/>
          <w:sz w:val="32"/>
          <w:szCs w:val="32"/>
        </w:rPr>
        <w:t>（二）人员情况说明</w:t>
      </w:r>
    </w:p>
    <w:p>
      <w:pPr>
        <w:ind w:firstLine="645"/>
        <w:rPr>
          <w:rFonts w:hint="eastAsia" w:ascii="仿宋_GB2312" w:hAnsi="仿宋" w:eastAsia="仿宋_GB2312" w:cstheme="minorEastAsia"/>
          <w:color w:val="auto"/>
          <w:sz w:val="32"/>
          <w:szCs w:val="32"/>
        </w:rPr>
      </w:pPr>
      <w:r>
        <w:rPr>
          <w:rFonts w:hint="eastAsia" w:ascii="仿宋" w:hAnsi="仿宋" w:eastAsia="仿宋" w:cs="仿宋_GB2312"/>
          <w:color w:val="auto"/>
          <w:kern w:val="2"/>
          <w:sz w:val="32"/>
          <w:szCs w:val="32"/>
          <w:lang w:val="en-US" w:eastAsia="zh-CN" w:bidi="ar"/>
        </w:rPr>
        <w:t>现有事业编制11名，实有8人，其中事业人员8名。</w:t>
      </w:r>
    </w:p>
    <w:p>
      <w:pPr>
        <w:ind w:firstLine="640" w:firstLineChars="200"/>
        <w:rPr>
          <w:rFonts w:hint="eastAsia" w:ascii="黑体" w:hAnsi="黑体" w:eastAsia="黑体" w:cstheme="minorEastAsia"/>
          <w:color w:val="auto"/>
          <w:sz w:val="32"/>
          <w:szCs w:val="32"/>
          <w:lang w:eastAsia="zh-CN"/>
        </w:rPr>
      </w:pPr>
      <w:r>
        <w:rPr>
          <w:rFonts w:hint="eastAsia" w:ascii="黑体" w:hAnsi="黑体" w:eastAsia="黑体" w:cstheme="minorEastAsia"/>
          <w:color w:val="auto"/>
          <w:sz w:val="32"/>
          <w:szCs w:val="32"/>
          <w:lang w:eastAsia="zh-CN"/>
        </w:rPr>
        <w:t>三、预算收支增减变化情况说明</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
          <w:color w:val="auto"/>
          <w:kern w:val="0"/>
          <w:sz w:val="32"/>
          <w:szCs w:val="32"/>
          <w:lang w:val="en-US" w:eastAsia="zh-CN" w:bidi="ar"/>
        </w:rPr>
        <w:t>襄垣县文物博物馆</w:t>
      </w:r>
      <w:r>
        <w:rPr>
          <w:rFonts w:hint="eastAsia" w:ascii="仿宋" w:hAnsi="仿宋" w:eastAsia="仿宋" w:cs="仿宋_GB2312"/>
          <w:color w:val="auto"/>
          <w:kern w:val="2"/>
          <w:sz w:val="32"/>
          <w:szCs w:val="32"/>
          <w:lang w:val="en-US" w:eastAsia="zh-CN" w:bidi="ar"/>
        </w:rPr>
        <w:t>2020年度收入、支出预算总计77.21 万元，与上年相比收、支预算总计各增加12.4万元，增加19.1%。主要原因是在职人员增加、工资正常增长等。其中：</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（一）收入预算总计77.21万元：</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财政拨款收入预算总计77.21万元。</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一般公共预算收入预算77.21万元，与上年相比增加12.4万元，增加19.1%。主要原因是在职人员增加、工资正常增长等。</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（二）支出预算总计77.21万元：</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基本支出预算数为77.21万元。与上年相比增加12.4万元，增加19.1%。主要原因是在职人员增加、工资正常增长等。</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无项目支出预算，与上年相同。</w:t>
      </w:r>
    </w:p>
    <w:p>
      <w:pPr>
        <w:ind w:firstLine="640" w:firstLineChars="200"/>
        <w:rPr>
          <w:rFonts w:hint="eastAsia" w:ascii="楷体" w:hAnsi="楷体" w:eastAsia="楷体" w:cstheme="minorEastAsia"/>
          <w:b w:val="0"/>
          <w:bCs/>
          <w:color w:val="auto"/>
          <w:sz w:val="32"/>
          <w:szCs w:val="32"/>
          <w:lang w:eastAsia="zh-CN"/>
        </w:rPr>
      </w:pPr>
      <w:r>
        <w:rPr>
          <w:rFonts w:hint="eastAsia" w:ascii="楷体" w:hAnsi="楷体" w:eastAsia="楷体" w:cstheme="minorEastAsia"/>
          <w:b w:val="0"/>
          <w:bCs/>
          <w:color w:val="auto"/>
          <w:sz w:val="32"/>
          <w:szCs w:val="32"/>
          <w:lang w:eastAsia="zh-CN"/>
        </w:rPr>
        <w:t>四</w:t>
      </w:r>
      <w:r>
        <w:rPr>
          <w:rFonts w:hint="eastAsia" w:ascii="楷体" w:hAnsi="楷体" w:eastAsia="楷体" w:cstheme="minorEastAsia"/>
          <w:b w:val="0"/>
          <w:bCs/>
          <w:color w:val="auto"/>
          <w:sz w:val="32"/>
          <w:szCs w:val="32"/>
        </w:rPr>
        <w:t>、</w:t>
      </w:r>
      <w:r>
        <w:rPr>
          <w:rFonts w:hint="eastAsia" w:ascii="楷体" w:hAnsi="楷体" w:eastAsia="楷体" w:cstheme="minorEastAsia"/>
          <w:b w:val="0"/>
          <w:bCs/>
          <w:color w:val="auto"/>
          <w:sz w:val="32"/>
          <w:szCs w:val="32"/>
          <w:lang w:eastAsia="zh-CN"/>
        </w:rPr>
        <w:t>机关运行经费安排情况说明</w:t>
      </w:r>
    </w:p>
    <w:p>
      <w:pPr>
        <w:ind w:firstLine="640" w:firstLineChars="200"/>
        <w:rPr>
          <w:rFonts w:hint="eastAsia" w:ascii="仿宋_GB2312" w:eastAsia="仿宋_GB2312" w:hAnsiTheme="minorEastAsia" w:cstheme="minorEastAsia"/>
          <w:color w:val="auto"/>
          <w:sz w:val="32"/>
          <w:szCs w:val="32"/>
          <w:lang w:eastAsia="zh-CN"/>
        </w:rPr>
      </w:pPr>
      <w:r>
        <w:rPr>
          <w:rFonts w:hint="eastAsia" w:ascii="仿宋_GB2312" w:eastAsia="仿宋_GB2312" w:hAnsiTheme="minorEastAsia" w:cstheme="minorEastAsia"/>
          <w:color w:val="auto"/>
          <w:sz w:val="32"/>
          <w:szCs w:val="32"/>
          <w:lang w:eastAsia="zh-CN"/>
        </w:rPr>
        <w:t>本单位</w:t>
      </w:r>
      <w:r>
        <w:rPr>
          <w:rFonts w:hint="eastAsia" w:ascii="仿宋_GB2312" w:eastAsia="仿宋_GB2312" w:hAnsiTheme="minorEastAsia" w:cstheme="minorEastAsia"/>
          <w:color w:val="auto"/>
          <w:sz w:val="32"/>
          <w:szCs w:val="32"/>
        </w:rPr>
        <w:t>机关运行经费</w:t>
      </w:r>
      <w:r>
        <w:rPr>
          <w:rFonts w:hint="eastAsia" w:ascii="仿宋_GB2312" w:eastAsia="仿宋_GB2312" w:hAnsiTheme="minorEastAsia" w:cstheme="minorEastAsia"/>
          <w:color w:val="auto"/>
          <w:sz w:val="32"/>
          <w:szCs w:val="32"/>
          <w:lang w:eastAsia="zh-CN"/>
        </w:rPr>
        <w:t>支出预算数为</w:t>
      </w:r>
      <w:r>
        <w:rPr>
          <w:rFonts w:hint="eastAsia" w:ascii="仿宋_GB2312" w:eastAsia="仿宋_GB2312" w:hAnsiTheme="minorEastAsia" w:cstheme="minorEastAsia"/>
          <w:color w:val="auto"/>
          <w:sz w:val="32"/>
          <w:szCs w:val="32"/>
          <w:lang w:val="en-US" w:eastAsia="zh-CN"/>
        </w:rPr>
        <w:t>5万元，较2019年相同，其中：</w:t>
      </w:r>
      <w:r>
        <w:rPr>
          <w:rFonts w:hint="eastAsia" w:ascii="仿宋_GB2312" w:eastAsia="仿宋_GB2312" w:hAnsiTheme="minorEastAsia" w:cstheme="minorEastAsia"/>
          <w:color w:val="auto"/>
          <w:sz w:val="32"/>
          <w:szCs w:val="32"/>
        </w:rPr>
        <w:t>办公费</w:t>
      </w:r>
      <w:r>
        <w:rPr>
          <w:rFonts w:hint="eastAsia" w:ascii="仿宋_GB2312" w:eastAsia="仿宋_GB2312" w:hAnsiTheme="minorEastAsia" w:cstheme="minorEastAsia"/>
          <w:color w:val="auto"/>
          <w:sz w:val="32"/>
          <w:szCs w:val="32"/>
          <w:lang w:eastAsia="zh-CN"/>
        </w:rPr>
        <w:t>支出</w:t>
      </w:r>
      <w:r>
        <w:rPr>
          <w:rFonts w:hint="eastAsia" w:ascii="仿宋_GB2312" w:eastAsia="仿宋_GB2312" w:hAnsiTheme="minorEastAsia" w:cstheme="minorEastAsia"/>
          <w:color w:val="auto"/>
          <w:sz w:val="32"/>
          <w:szCs w:val="32"/>
          <w:lang w:val="en-US" w:eastAsia="zh-CN"/>
        </w:rPr>
        <w:t>0.3万元</w:t>
      </w:r>
      <w:r>
        <w:rPr>
          <w:rFonts w:hint="eastAsia" w:ascii="仿宋_GB2312" w:eastAsia="仿宋_GB2312" w:hAnsiTheme="minorEastAsia" w:cstheme="minorEastAsia"/>
          <w:color w:val="auto"/>
          <w:sz w:val="32"/>
          <w:szCs w:val="32"/>
        </w:rPr>
        <w:t>、印刷费</w:t>
      </w:r>
      <w:r>
        <w:rPr>
          <w:rFonts w:hint="eastAsia" w:ascii="仿宋_GB2312" w:eastAsia="仿宋_GB2312" w:hAnsiTheme="minorEastAsia" w:cstheme="minorEastAsia"/>
          <w:color w:val="auto"/>
          <w:sz w:val="32"/>
          <w:szCs w:val="32"/>
          <w:lang w:eastAsia="zh-CN"/>
        </w:rPr>
        <w:t>支出</w:t>
      </w:r>
      <w:r>
        <w:rPr>
          <w:rFonts w:hint="eastAsia" w:ascii="仿宋_GB2312" w:eastAsia="仿宋_GB2312" w:hAnsiTheme="minorEastAsia" w:cstheme="minorEastAsia"/>
          <w:color w:val="auto"/>
          <w:sz w:val="32"/>
          <w:szCs w:val="32"/>
          <w:lang w:val="en-US" w:eastAsia="zh-CN"/>
        </w:rPr>
        <w:t>0.1万元</w:t>
      </w:r>
      <w:r>
        <w:rPr>
          <w:rFonts w:hint="eastAsia" w:ascii="仿宋_GB2312" w:eastAsia="仿宋_GB2312" w:hAnsiTheme="minorEastAsia" w:cstheme="minorEastAsia"/>
          <w:color w:val="auto"/>
          <w:sz w:val="32"/>
          <w:szCs w:val="32"/>
        </w:rPr>
        <w:t>、差旅费</w:t>
      </w:r>
      <w:r>
        <w:rPr>
          <w:rFonts w:hint="eastAsia" w:ascii="仿宋_GB2312" w:eastAsia="仿宋_GB2312" w:hAnsiTheme="minorEastAsia" w:cstheme="minorEastAsia"/>
          <w:color w:val="auto"/>
          <w:sz w:val="32"/>
          <w:szCs w:val="32"/>
          <w:lang w:eastAsia="zh-CN"/>
        </w:rPr>
        <w:t>支出</w:t>
      </w:r>
      <w:r>
        <w:rPr>
          <w:rFonts w:hint="eastAsia" w:ascii="仿宋_GB2312" w:eastAsia="仿宋_GB2312" w:hAnsiTheme="minorEastAsia" w:cstheme="minorEastAsia"/>
          <w:color w:val="auto"/>
          <w:sz w:val="32"/>
          <w:szCs w:val="32"/>
          <w:lang w:val="en-US" w:eastAsia="zh-CN"/>
        </w:rPr>
        <w:t>0.1万元</w:t>
      </w:r>
      <w:r>
        <w:rPr>
          <w:rFonts w:hint="eastAsia" w:ascii="仿宋_GB2312" w:eastAsia="仿宋_GB2312" w:hAnsiTheme="minorEastAsia" w:cstheme="minorEastAsia"/>
          <w:color w:val="auto"/>
          <w:sz w:val="32"/>
          <w:szCs w:val="32"/>
        </w:rPr>
        <w:t>等。</w:t>
      </w:r>
      <w:r>
        <w:rPr>
          <w:rFonts w:hint="eastAsia" w:ascii="仿宋_GB2312" w:eastAsia="仿宋_GB2312" w:hAnsiTheme="minorEastAsia" w:cstheme="minorEastAsia"/>
          <w:color w:val="auto"/>
          <w:sz w:val="32"/>
          <w:szCs w:val="32"/>
          <w:lang w:eastAsia="zh-CN"/>
        </w:rPr>
        <w:t>无增减变化情况。</w:t>
      </w:r>
    </w:p>
    <w:p>
      <w:pPr>
        <w:ind w:firstLine="640" w:firstLineChars="200"/>
        <w:rPr>
          <w:rFonts w:hint="eastAsia" w:ascii="楷体" w:hAnsi="楷体" w:eastAsia="楷体" w:cstheme="minorEastAsia"/>
          <w:b w:val="0"/>
          <w:bCs/>
          <w:color w:val="auto"/>
          <w:sz w:val="32"/>
          <w:szCs w:val="32"/>
        </w:rPr>
      </w:pPr>
      <w:r>
        <w:rPr>
          <w:rFonts w:hint="eastAsia" w:ascii="仿宋_GB2312" w:eastAsia="仿宋_GB2312" w:hAnsiTheme="minorEastAsia" w:cstheme="minorEastAsia"/>
          <w:color w:val="auto"/>
          <w:sz w:val="32"/>
          <w:szCs w:val="32"/>
          <w:lang w:eastAsia="zh-CN"/>
        </w:rPr>
        <w:t>五、</w:t>
      </w:r>
      <w:r>
        <w:rPr>
          <w:rFonts w:hint="eastAsia" w:ascii="楷体" w:hAnsi="楷体" w:eastAsia="楷体" w:cstheme="minorEastAsia"/>
          <w:b w:val="0"/>
          <w:bCs/>
          <w:color w:val="auto"/>
          <w:sz w:val="32"/>
          <w:szCs w:val="32"/>
        </w:rPr>
        <w:t>政府采购</w:t>
      </w:r>
      <w:r>
        <w:rPr>
          <w:rFonts w:hint="eastAsia" w:ascii="楷体" w:hAnsi="楷体" w:eastAsia="楷体" w:cstheme="minorEastAsia"/>
          <w:b w:val="0"/>
          <w:bCs/>
          <w:color w:val="auto"/>
          <w:sz w:val="32"/>
          <w:szCs w:val="32"/>
          <w:lang w:eastAsia="zh-CN"/>
        </w:rPr>
        <w:t>安排</w:t>
      </w:r>
      <w:r>
        <w:rPr>
          <w:rFonts w:hint="eastAsia" w:ascii="楷体" w:hAnsi="楷体" w:eastAsia="楷体" w:cstheme="minorEastAsia"/>
          <w:b w:val="0"/>
          <w:bCs/>
          <w:color w:val="auto"/>
          <w:sz w:val="32"/>
          <w:szCs w:val="32"/>
        </w:rPr>
        <w:t>情况说明</w:t>
      </w:r>
    </w:p>
    <w:p>
      <w:pPr>
        <w:ind w:firstLine="640" w:firstLineChars="200"/>
        <w:rPr>
          <w:rFonts w:hint="eastAsia" w:ascii="仿宋_GB2312" w:eastAsia="仿宋_GB2312" w:hAnsiTheme="minorEastAsia" w:cstheme="minorEastAsia"/>
          <w:color w:val="auto"/>
          <w:sz w:val="32"/>
          <w:szCs w:val="32"/>
          <w:lang w:eastAsia="zh-CN"/>
        </w:rPr>
      </w:pPr>
      <w:r>
        <w:rPr>
          <w:rFonts w:hint="eastAsia" w:ascii="仿宋_GB2312" w:eastAsia="仿宋_GB2312" w:hAnsiTheme="minorEastAsia" w:cstheme="minorEastAsia"/>
          <w:color w:val="auto"/>
          <w:sz w:val="32"/>
          <w:szCs w:val="32"/>
        </w:rPr>
        <w:t>本</w:t>
      </w:r>
      <w:r>
        <w:rPr>
          <w:rFonts w:hint="eastAsia" w:ascii="仿宋_GB2312" w:eastAsia="仿宋_GB2312" w:hAnsiTheme="minorEastAsia" w:cstheme="minorEastAsia"/>
          <w:color w:val="auto"/>
          <w:sz w:val="32"/>
          <w:szCs w:val="32"/>
          <w:lang w:eastAsia="zh-CN"/>
        </w:rPr>
        <w:t>单位本</w:t>
      </w:r>
      <w:r>
        <w:rPr>
          <w:rFonts w:hint="eastAsia" w:ascii="仿宋_GB2312" w:eastAsia="仿宋_GB2312" w:hAnsiTheme="minorEastAsia" w:cstheme="minorEastAsia"/>
          <w:color w:val="auto"/>
          <w:sz w:val="32"/>
          <w:szCs w:val="32"/>
        </w:rPr>
        <w:t>年度</w:t>
      </w:r>
      <w:r>
        <w:rPr>
          <w:rFonts w:hint="eastAsia" w:ascii="仿宋_GB2312" w:eastAsia="仿宋_GB2312" w:hAnsiTheme="minorEastAsia" w:cstheme="minorEastAsia"/>
          <w:color w:val="auto"/>
          <w:sz w:val="32"/>
          <w:szCs w:val="32"/>
          <w:lang w:eastAsia="zh-CN"/>
        </w:rPr>
        <w:t>无</w:t>
      </w:r>
      <w:r>
        <w:rPr>
          <w:rFonts w:hint="eastAsia" w:ascii="仿宋_GB2312" w:eastAsia="仿宋_GB2312" w:hAnsiTheme="minorEastAsia" w:cstheme="minorEastAsia"/>
          <w:color w:val="auto"/>
          <w:sz w:val="32"/>
          <w:szCs w:val="32"/>
        </w:rPr>
        <w:t>政府采购</w:t>
      </w:r>
      <w:r>
        <w:rPr>
          <w:rFonts w:hint="eastAsia" w:ascii="仿宋_GB2312" w:eastAsia="仿宋_GB2312" w:hAnsiTheme="minorEastAsia" w:cstheme="minorEastAsia"/>
          <w:color w:val="auto"/>
          <w:sz w:val="32"/>
          <w:szCs w:val="32"/>
          <w:lang w:eastAsia="zh-CN"/>
        </w:rPr>
        <w:t>安排。</w:t>
      </w:r>
    </w:p>
    <w:p>
      <w:pPr>
        <w:ind w:firstLine="640" w:firstLineChars="200"/>
        <w:rPr>
          <w:rFonts w:hint="eastAsia" w:ascii="楷体" w:hAnsi="楷体" w:eastAsia="楷体" w:cstheme="minorEastAsia"/>
          <w:b w:val="0"/>
          <w:bCs/>
          <w:color w:val="auto"/>
          <w:sz w:val="32"/>
          <w:szCs w:val="32"/>
          <w:lang w:eastAsia="zh-CN"/>
        </w:rPr>
      </w:pPr>
      <w:r>
        <w:rPr>
          <w:rFonts w:hint="eastAsia" w:ascii="楷体" w:hAnsi="楷体" w:eastAsia="楷体" w:cstheme="minorEastAsia"/>
          <w:b w:val="0"/>
          <w:bCs/>
          <w:color w:val="auto"/>
          <w:sz w:val="32"/>
          <w:szCs w:val="32"/>
          <w:lang w:eastAsia="zh-CN"/>
        </w:rPr>
        <w:t>六</w:t>
      </w:r>
      <w:r>
        <w:rPr>
          <w:rFonts w:hint="eastAsia" w:ascii="楷体" w:hAnsi="楷体" w:eastAsia="楷体" w:cstheme="minorEastAsia"/>
          <w:b w:val="0"/>
          <w:bCs/>
          <w:color w:val="auto"/>
          <w:sz w:val="32"/>
          <w:szCs w:val="32"/>
        </w:rPr>
        <w:t>、</w:t>
      </w:r>
      <w:r>
        <w:rPr>
          <w:rFonts w:hint="eastAsia" w:ascii="楷体" w:hAnsi="楷体" w:eastAsia="楷体" w:cstheme="minorEastAsia"/>
          <w:b w:val="0"/>
          <w:bCs/>
          <w:color w:val="auto"/>
          <w:sz w:val="32"/>
          <w:szCs w:val="32"/>
          <w:lang w:eastAsia="zh-CN"/>
        </w:rPr>
        <w:t>对专业性较强的名词进行解释</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（一）</w:t>
      </w:r>
      <w:r>
        <w:rPr>
          <w:rFonts w:hint="eastAsia" w:ascii="仿宋_GB2312" w:eastAsia="仿宋_GB2312" w:hAnsiTheme="minorEastAsia" w:cstheme="minorEastAsia"/>
          <w:color w:val="auto"/>
          <w:sz w:val="32"/>
          <w:szCs w:val="32"/>
        </w:rPr>
        <w:t>财政拨款收入：指单位本年度从本级财政部门取得的财政拨款，包括一般公共预算财政拨款和政府性基金预算财政拨款。</w:t>
      </w:r>
    </w:p>
    <w:p>
      <w:pPr>
        <w:ind w:firstLine="640" w:firstLineChars="200"/>
        <w:rPr>
          <w:rFonts w:hint="eastAsia"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（二）</w:t>
      </w:r>
      <w:r>
        <w:rPr>
          <w:rFonts w:hint="eastAsia" w:ascii="仿宋_GB2312" w:eastAsia="仿宋_GB2312" w:hAnsiTheme="minorEastAsia" w:cstheme="minorEastAsia"/>
          <w:color w:val="auto"/>
          <w:sz w:val="32"/>
          <w:szCs w:val="32"/>
        </w:rPr>
        <w:t>上级补助收入：指事业单位从主管部门和上级单位取得的非财政补助收入。</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（三）</w:t>
      </w:r>
      <w:r>
        <w:rPr>
          <w:rFonts w:hint="eastAsia" w:ascii="仿宋_GB2312" w:eastAsia="仿宋_GB2312" w:hAnsiTheme="minorEastAsia" w:cstheme="minorEastAsia"/>
          <w:color w:val="auto"/>
          <w:sz w:val="32"/>
          <w:szCs w:val="32"/>
        </w:rPr>
        <w:t xml:space="preserve">事业收入：指事业单位开展专业业务活动及其辅助活动取得的收入；事业单位收到的财政专户实际核拨的教育收费等资金在此反映。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（四）</w:t>
      </w:r>
      <w:r>
        <w:rPr>
          <w:rFonts w:hint="eastAsia" w:ascii="仿宋_GB2312" w:eastAsia="仿宋_GB2312" w:hAnsiTheme="minorEastAsia" w:cstheme="minorEastAsia"/>
          <w:color w:val="auto"/>
          <w:sz w:val="32"/>
          <w:szCs w:val="32"/>
        </w:rPr>
        <w:t>经营收入：指事业单位在专业业务活动及其辅助活动之外开展非独立核算经营活动取得的收入。</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（五）</w:t>
      </w:r>
      <w:r>
        <w:rPr>
          <w:rFonts w:hint="eastAsia" w:ascii="仿宋_GB2312" w:eastAsia="仿宋_GB2312" w:hAnsiTheme="minorEastAsia" w:cstheme="minorEastAsia"/>
          <w:color w:val="auto"/>
          <w:sz w:val="32"/>
          <w:szCs w:val="32"/>
        </w:rPr>
        <w:t>附属单位缴款：指事业单位附属独立核算单位按照有关规定上缴的收入。</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（六）</w:t>
      </w:r>
      <w:r>
        <w:rPr>
          <w:rFonts w:hint="eastAsia" w:ascii="仿宋_GB2312" w:eastAsia="仿宋_GB2312" w:hAnsiTheme="minorEastAsia" w:cstheme="minorEastAsia"/>
          <w:color w:val="auto"/>
          <w:sz w:val="32"/>
          <w:szCs w:val="32"/>
        </w:rPr>
        <w:t xml:space="preserve">其他收入：指单位取得的除上述“财政拨款收入”、“事业收入”、“经营收入”、“附属单位缴款”等以外的各项收入。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（七）</w:t>
      </w:r>
      <w:r>
        <w:rPr>
          <w:rFonts w:hint="eastAsia" w:ascii="仿宋_GB2312" w:eastAsia="仿宋_GB2312" w:hAnsiTheme="minorEastAsia" w:cstheme="minorEastAsia"/>
          <w:color w:val="auto"/>
          <w:sz w:val="32"/>
          <w:szCs w:val="32"/>
        </w:rPr>
        <w:t xml:space="preserve">用事业基金弥补收支差额：指事业单位用事业基金弥补当年收支差额的数额。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（八）</w:t>
      </w:r>
      <w:r>
        <w:rPr>
          <w:rFonts w:hint="eastAsia" w:ascii="仿宋_GB2312" w:eastAsia="仿宋_GB2312" w:hAnsiTheme="minorEastAsia" w:cstheme="minorEastAsia"/>
          <w:color w:val="auto"/>
          <w:sz w:val="32"/>
          <w:szCs w:val="32"/>
        </w:rPr>
        <w:t xml:space="preserve">年初结转和结余：指单位上年结转本年使用的基本支出结转、项目支出结转和结余和经营结余。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（九）</w:t>
      </w:r>
      <w:r>
        <w:rPr>
          <w:rFonts w:hint="eastAsia" w:ascii="仿宋_GB2312" w:eastAsia="仿宋_GB2312" w:hAnsiTheme="minorEastAsia" w:cstheme="minorEastAsia"/>
          <w:color w:val="auto"/>
          <w:sz w:val="32"/>
          <w:szCs w:val="32"/>
        </w:rPr>
        <w:t xml:space="preserve">结余分配：指事业单位按规定对非财政补助结余资金提取的职工福利基金、事业基金和缴纳的所得税，以及减少单位按规定应缴回的基本建设竣工项目结余资金。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（十）</w:t>
      </w:r>
      <w:r>
        <w:rPr>
          <w:rFonts w:hint="eastAsia" w:ascii="仿宋_GB2312" w:eastAsia="仿宋_GB2312" w:hAnsiTheme="minorEastAsia" w:cstheme="minorEastAsia"/>
          <w:color w:val="auto"/>
          <w:sz w:val="32"/>
          <w:szCs w:val="32"/>
        </w:rPr>
        <w:t>年末结转和结余资金：指单位结转下年的基本支出结转、项目支出结转和结余和经营结余。</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十一</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 xml:space="preserve">基本支出：指为保障机构正常运转、完成日常工作任务而发生的人员支出和公用支出。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十二</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 xml:space="preserve">项目支出：指在基本支出之外为完成特定的行政任务或事业发展目标所发生的支出。 </w:t>
      </w:r>
    </w:p>
    <w:p>
      <w:pPr>
        <w:ind w:firstLine="640" w:firstLineChars="200"/>
        <w:rPr>
          <w:rFonts w:hint="eastAsia"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十三</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上缴上级支出：指事业单位按照财政部门和主管部门的规定上缴上级单位的支出。</w:t>
      </w:r>
    </w:p>
    <w:p>
      <w:pPr>
        <w:ind w:firstLine="640" w:firstLineChars="200"/>
        <w:rPr>
          <w:rFonts w:hint="eastAsia"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十四</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经营支出：指事业单位在专业业务活动及其辅助活动之外开展非独立核算经营活动发生的支出。</w:t>
      </w:r>
    </w:p>
    <w:p>
      <w:pPr>
        <w:ind w:firstLine="640" w:firstLineChars="200"/>
        <w:rPr>
          <w:rFonts w:hint="eastAsia"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十五</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对附属单位补助支出：指事业单位用财政补助收入之外的收入对附属单位补助发生的支出。</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十六</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 xml:space="preserve">“三公”经费：指各部门因公出国（境）费、公务用车购置及运行费和公务接待费。其中，因公出国（境）费指单位公务出国（境）的住宿费、旅费、伙食补助费、杂费、培训费等支出；公务用车购置及运行费指单位公务用车购置费及租用费、燃料费、维修费、过路过桥费、保险费、安全奖励费用等支出；公务接待费指单位按规定开支的各类公务接待（含外宾接待）支出。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十七</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机关运行经费：指为保障行政单位（含参照公务员法管理的事业单位）运行用于购买货物和服务的各项资金，包括办公费、印刷费、差旅费、会议费、日常维修费、专用材料及办公用房水电费、物业管理费、公务用车运行维护费等。在财政部有明确规定前，“机关运行经费”暂指一般公共预算安排的基本支出中的“商品和服务支出”经费。</w:t>
      </w:r>
    </w:p>
    <w:p>
      <w:pPr>
        <w:ind w:firstLine="640" w:firstLineChars="200"/>
        <w:rPr>
          <w:rFonts w:hint="eastAsia" w:ascii="楷体" w:hAnsi="楷体" w:eastAsia="楷体" w:cstheme="minorEastAsia"/>
          <w:b w:val="0"/>
          <w:bCs/>
          <w:color w:val="auto"/>
          <w:sz w:val="32"/>
          <w:szCs w:val="32"/>
          <w:lang w:val="en-US" w:eastAsia="zh-CN"/>
        </w:rPr>
      </w:pPr>
      <w:r>
        <w:rPr>
          <w:rFonts w:hint="eastAsia" w:ascii="楷体" w:hAnsi="楷体" w:eastAsia="楷体" w:cstheme="minorEastAsia"/>
          <w:b w:val="0"/>
          <w:bCs/>
          <w:color w:val="auto"/>
          <w:sz w:val="32"/>
          <w:szCs w:val="32"/>
          <w:lang w:eastAsia="zh-CN"/>
        </w:rPr>
        <w:t>七、国有</w:t>
      </w:r>
      <w:r>
        <w:rPr>
          <w:rFonts w:hint="eastAsia" w:ascii="楷体" w:hAnsi="楷体" w:eastAsia="楷体" w:cstheme="minorEastAsia"/>
          <w:b w:val="0"/>
          <w:bCs/>
          <w:color w:val="auto"/>
          <w:sz w:val="32"/>
          <w:szCs w:val="32"/>
          <w:lang w:val="en-US" w:eastAsia="zh-CN"/>
        </w:rPr>
        <w:t>资产占用情况说明</w:t>
      </w:r>
    </w:p>
    <w:p>
      <w:pPr>
        <w:ind w:firstLine="640" w:firstLineChars="200"/>
        <w:rPr>
          <w:rFonts w:hint="eastAsia" w:ascii="楷体" w:hAnsi="楷体" w:eastAsia="楷体" w:cstheme="minorEastAsia"/>
          <w:b w:val="0"/>
          <w:bCs/>
          <w:color w:val="auto"/>
          <w:sz w:val="32"/>
          <w:szCs w:val="32"/>
          <w:lang w:val="en-US" w:eastAsia="zh-CN"/>
        </w:rPr>
      </w:pPr>
      <w:r>
        <w:rPr>
          <w:rFonts w:hint="eastAsia" w:ascii="楷体" w:hAnsi="楷体" w:eastAsia="楷体" w:cstheme="minorEastAsia"/>
          <w:b w:val="0"/>
          <w:bCs/>
          <w:color w:val="auto"/>
          <w:sz w:val="32"/>
          <w:szCs w:val="32"/>
          <w:lang w:val="en-US" w:eastAsia="zh-CN"/>
        </w:rPr>
        <w:t>襄垣县文物博物馆本年度国有资产占用主要为固定资产，净值65.35万元，其中文物藏品库房屋净值62.78万元，通用设备等2.57万元。</w:t>
      </w:r>
    </w:p>
    <w:p>
      <w:pPr>
        <w:ind w:firstLine="640" w:firstLineChars="200"/>
        <w:rPr>
          <w:rFonts w:hint="eastAsia" w:ascii="楷体" w:hAnsi="楷体" w:eastAsia="楷体" w:cstheme="minorEastAsia"/>
          <w:b w:val="0"/>
          <w:bCs/>
          <w:color w:val="auto"/>
          <w:sz w:val="32"/>
          <w:szCs w:val="32"/>
          <w:lang w:val="en-US" w:eastAsia="zh-CN"/>
        </w:rPr>
      </w:pPr>
      <w:r>
        <w:rPr>
          <w:rFonts w:hint="eastAsia" w:ascii="楷体" w:hAnsi="楷体" w:eastAsia="楷体" w:cstheme="minorEastAsia"/>
          <w:b w:val="0"/>
          <w:bCs/>
          <w:color w:val="auto"/>
          <w:sz w:val="32"/>
          <w:szCs w:val="32"/>
          <w:lang w:val="en-US" w:eastAsia="zh-CN"/>
        </w:rPr>
        <w:t>八、重点项目预算的绩效目标等预算绩效情况说明</w:t>
      </w:r>
    </w:p>
    <w:p>
      <w:pPr>
        <w:ind w:firstLine="640" w:firstLineChars="200"/>
        <w:rPr>
          <w:rFonts w:hint="default" w:ascii="楷体" w:hAnsi="楷体" w:eastAsia="楷体" w:cstheme="minorEastAsia"/>
          <w:b w:val="0"/>
          <w:bCs/>
          <w:color w:val="auto"/>
          <w:sz w:val="32"/>
          <w:szCs w:val="32"/>
          <w:lang w:val="en-US" w:eastAsia="zh-CN"/>
        </w:rPr>
      </w:pPr>
      <w:r>
        <w:rPr>
          <w:rFonts w:hint="eastAsia" w:ascii="仿宋_GB2312" w:eastAsia="仿宋_GB2312" w:hAnsiTheme="minorEastAsia" w:cstheme="minorEastAsia"/>
          <w:color w:val="auto"/>
          <w:sz w:val="32"/>
          <w:szCs w:val="32"/>
        </w:rPr>
        <w:t>本</w:t>
      </w:r>
      <w:r>
        <w:rPr>
          <w:rFonts w:hint="eastAsia" w:ascii="仿宋_GB2312" w:eastAsia="仿宋_GB2312" w:hAnsiTheme="minorEastAsia" w:cstheme="minorEastAsia"/>
          <w:color w:val="auto"/>
          <w:sz w:val="32"/>
          <w:szCs w:val="32"/>
          <w:lang w:eastAsia="zh-CN"/>
        </w:rPr>
        <w:t>单位本</w:t>
      </w:r>
      <w:r>
        <w:rPr>
          <w:rFonts w:hint="eastAsia" w:ascii="仿宋_GB2312" w:eastAsia="仿宋_GB2312" w:hAnsiTheme="minorEastAsia" w:cstheme="minorEastAsia"/>
          <w:color w:val="auto"/>
          <w:sz w:val="32"/>
          <w:szCs w:val="32"/>
        </w:rPr>
        <w:t>年度</w:t>
      </w:r>
      <w:r>
        <w:rPr>
          <w:rFonts w:hint="eastAsia" w:ascii="仿宋_GB2312" w:eastAsia="仿宋_GB2312" w:hAnsiTheme="minorEastAsia" w:cstheme="minorEastAsia"/>
          <w:color w:val="auto"/>
          <w:sz w:val="32"/>
          <w:szCs w:val="32"/>
          <w:lang w:eastAsia="zh-CN"/>
        </w:rPr>
        <w:t>无</w:t>
      </w:r>
      <w:r>
        <w:rPr>
          <w:rFonts w:hint="eastAsia" w:ascii="楷体" w:hAnsi="楷体" w:eastAsia="楷体" w:cstheme="minorEastAsia"/>
          <w:b w:val="0"/>
          <w:bCs/>
          <w:color w:val="auto"/>
          <w:sz w:val="32"/>
          <w:szCs w:val="32"/>
          <w:lang w:val="en-US" w:eastAsia="zh-CN"/>
        </w:rPr>
        <w:t>重点项目预算，</w:t>
      </w:r>
      <w:r>
        <w:rPr>
          <w:rFonts w:hint="eastAsia" w:ascii="仿宋_GB2312" w:eastAsia="仿宋_GB2312" w:hAnsiTheme="minorEastAsia" w:cstheme="minorEastAsia"/>
          <w:color w:val="auto"/>
          <w:sz w:val="32"/>
          <w:szCs w:val="32"/>
          <w:lang w:eastAsia="zh-CN"/>
        </w:rPr>
        <w:t>故无此项说明</w:t>
      </w:r>
      <w:r>
        <w:rPr>
          <w:rFonts w:hint="eastAsia" w:ascii="楷体" w:hAnsi="楷体" w:eastAsia="楷体" w:cstheme="minorEastAsia"/>
          <w:b w:val="0"/>
          <w:bCs/>
          <w:color w:val="auto"/>
          <w:sz w:val="32"/>
          <w:szCs w:val="32"/>
          <w:lang w:val="en-US" w:eastAsia="zh-CN"/>
        </w:rPr>
        <w:t>。</w:t>
      </w:r>
      <w:bookmarkStart w:id="0" w:name="_GoBack"/>
      <w:bookmarkEnd w:id="0"/>
    </w:p>
    <w:p>
      <w:pPr>
        <w:ind w:firstLine="640" w:firstLineChars="200"/>
        <w:rPr>
          <w:rFonts w:hint="eastAsia" w:ascii="楷体" w:hAnsi="楷体" w:eastAsia="楷体" w:cstheme="minorEastAsia"/>
          <w:b w:val="0"/>
          <w:bCs/>
          <w:color w:val="auto"/>
          <w:sz w:val="32"/>
          <w:szCs w:val="32"/>
          <w:lang w:eastAsia="zh-CN"/>
        </w:rPr>
      </w:pPr>
      <w:r>
        <w:rPr>
          <w:rFonts w:hint="eastAsia" w:ascii="楷体" w:hAnsi="楷体" w:eastAsia="楷体" w:cstheme="minorEastAsia"/>
          <w:b w:val="0"/>
          <w:bCs/>
          <w:color w:val="auto"/>
          <w:sz w:val="32"/>
          <w:szCs w:val="32"/>
          <w:lang w:val="en-US" w:eastAsia="zh-CN"/>
        </w:rPr>
        <w:t>九、</w:t>
      </w:r>
      <w:r>
        <w:rPr>
          <w:rFonts w:hint="eastAsia" w:ascii="楷体" w:hAnsi="楷体" w:eastAsia="楷体" w:cstheme="minorEastAsia"/>
          <w:b w:val="0"/>
          <w:bCs/>
          <w:color w:val="auto"/>
          <w:sz w:val="32"/>
          <w:szCs w:val="32"/>
        </w:rPr>
        <w:t>一般公共预算“三公”经费支出</w:t>
      </w:r>
      <w:r>
        <w:rPr>
          <w:rFonts w:hint="eastAsia" w:ascii="楷体" w:hAnsi="楷体" w:eastAsia="楷体" w:cstheme="minorEastAsia"/>
          <w:b w:val="0"/>
          <w:bCs/>
          <w:color w:val="auto"/>
          <w:sz w:val="32"/>
          <w:szCs w:val="32"/>
          <w:lang w:eastAsia="zh-CN"/>
        </w:rPr>
        <w:t>增减变化原因等说明</w:t>
      </w:r>
    </w:p>
    <w:p>
      <w:pPr>
        <w:ind w:firstLine="640" w:firstLineChars="200"/>
        <w:rPr>
          <w:rFonts w:hint="default" w:ascii="仿宋_GB2312" w:eastAsia="仿宋_GB2312" w:hAnsiTheme="minorEastAsia" w:cstheme="minorEastAsia"/>
          <w:color w:val="auto"/>
          <w:sz w:val="32"/>
          <w:szCs w:val="32"/>
          <w:lang w:val="en-US" w:eastAsia="zh-CN"/>
        </w:rPr>
      </w:pPr>
      <w:r>
        <w:rPr>
          <w:rFonts w:hint="eastAsia" w:ascii="仿宋_GB2312" w:eastAsia="仿宋_GB2312" w:hAnsiTheme="minorEastAsia" w:cstheme="minorEastAsia"/>
          <w:color w:val="auto"/>
          <w:sz w:val="32"/>
          <w:szCs w:val="32"/>
        </w:rPr>
        <w:t>本</w:t>
      </w:r>
      <w:r>
        <w:rPr>
          <w:rFonts w:hint="eastAsia" w:ascii="仿宋_GB2312" w:eastAsia="仿宋_GB2312" w:hAnsiTheme="minorEastAsia" w:cstheme="minorEastAsia"/>
          <w:color w:val="auto"/>
          <w:sz w:val="32"/>
          <w:szCs w:val="32"/>
          <w:lang w:eastAsia="zh-CN"/>
        </w:rPr>
        <w:t>单位本</w:t>
      </w:r>
      <w:r>
        <w:rPr>
          <w:rFonts w:hint="eastAsia" w:ascii="仿宋_GB2312" w:eastAsia="仿宋_GB2312" w:hAnsiTheme="minorEastAsia" w:cstheme="minorEastAsia"/>
          <w:color w:val="auto"/>
          <w:sz w:val="32"/>
          <w:szCs w:val="32"/>
        </w:rPr>
        <w:t>年度</w:t>
      </w:r>
      <w:r>
        <w:rPr>
          <w:rFonts w:hint="eastAsia" w:ascii="仿宋_GB2312" w:eastAsia="仿宋_GB2312" w:hAnsiTheme="minorEastAsia" w:cstheme="minorEastAsia"/>
          <w:color w:val="auto"/>
          <w:sz w:val="32"/>
          <w:szCs w:val="32"/>
          <w:lang w:eastAsia="zh-CN"/>
        </w:rPr>
        <w:t>无</w:t>
      </w:r>
      <w:r>
        <w:rPr>
          <w:rFonts w:hint="eastAsia" w:ascii="仿宋_GB2312" w:eastAsia="仿宋_GB2312" w:hAnsiTheme="minorEastAsia" w:cstheme="minorEastAsia"/>
          <w:color w:val="auto"/>
          <w:sz w:val="32"/>
          <w:szCs w:val="32"/>
        </w:rPr>
        <w:t>一般公共预算“三公”经费预算</w:t>
      </w:r>
      <w:r>
        <w:rPr>
          <w:rFonts w:hint="eastAsia" w:ascii="仿宋_GB2312" w:eastAsia="仿宋_GB2312" w:hAnsiTheme="minorEastAsia" w:cstheme="minorEastAsia"/>
          <w:color w:val="auto"/>
          <w:sz w:val="32"/>
          <w:szCs w:val="32"/>
          <w:lang w:eastAsia="zh-CN"/>
        </w:rPr>
        <w:t>，故无此项说明</w:t>
      </w:r>
      <w:r>
        <w:rPr>
          <w:rFonts w:hint="eastAsia" w:ascii="仿宋_GB2312" w:eastAsia="仿宋_GB2312" w:hAnsiTheme="minorEastAsia" w:cstheme="minorEastAsia"/>
          <w:color w:val="auto"/>
          <w:sz w:val="32"/>
          <w:szCs w:val="32"/>
          <w:lang w:val="en-US" w:eastAsia="zh-CN"/>
        </w:rPr>
        <w:t>。</w:t>
      </w:r>
    </w:p>
    <w:p>
      <w:pPr>
        <w:ind w:firstLine="640" w:firstLineChars="200"/>
        <w:rPr>
          <w:rFonts w:hint="eastAsia" w:ascii="楷体" w:hAnsi="楷体" w:eastAsia="楷体" w:cs="楷体"/>
          <w:color w:val="auto"/>
          <w:sz w:val="32"/>
          <w:szCs w:val="32"/>
        </w:rPr>
      </w:pPr>
      <w:r>
        <w:rPr>
          <w:rFonts w:hint="eastAsia" w:ascii="楷体" w:hAnsi="楷体" w:eastAsia="楷体" w:cs="楷体"/>
          <w:color w:val="auto"/>
          <w:sz w:val="32"/>
          <w:szCs w:val="32"/>
        </w:rPr>
        <w:t>十、政府性基金预算支出预算情况说明</w:t>
      </w:r>
    </w:p>
    <w:p>
      <w:pPr>
        <w:ind w:firstLine="640" w:firstLineChars="200"/>
        <w:rPr>
          <w:rFonts w:hint="eastAsia" w:ascii="仿宋_GB2312" w:eastAsia="仿宋_GB2312" w:hAnsiTheme="minorEastAsia" w:cstheme="minorEastAsia"/>
          <w:color w:val="auto"/>
          <w:sz w:val="32"/>
          <w:szCs w:val="32"/>
          <w:lang w:eastAsia="zh-CN"/>
        </w:rPr>
      </w:pPr>
      <w:r>
        <w:rPr>
          <w:rFonts w:hint="eastAsia" w:ascii="仿宋_GB2312" w:eastAsia="仿宋_GB2312" w:hAnsiTheme="minorEastAsia" w:cstheme="minorEastAsia"/>
          <w:color w:val="auto"/>
          <w:sz w:val="32"/>
          <w:szCs w:val="32"/>
          <w:lang w:eastAsia="zh-CN"/>
        </w:rPr>
        <w:t>本单位本年度无此项预算，故无此项说明。</w:t>
      </w:r>
    </w:p>
    <w:p>
      <w:pPr>
        <w:ind w:firstLine="640" w:firstLineChars="200"/>
        <w:rPr>
          <w:rFonts w:asciiTheme="minorEastAsia" w:hAnsiTheme="minorEastAsia" w:cstheme="minorEastAsia"/>
          <w:color w:val="auto"/>
          <w:sz w:val="32"/>
          <w:szCs w:val="32"/>
        </w:rPr>
      </w:pPr>
    </w:p>
    <w:p>
      <w:pPr>
        <w:ind w:firstLine="640" w:firstLineChars="200"/>
        <w:rPr>
          <w:rFonts w:asciiTheme="minorEastAsia" w:hAnsiTheme="minorEastAsia" w:cstheme="minorEastAsia"/>
          <w:color w:val="auto"/>
          <w:sz w:val="32"/>
          <w:szCs w:val="32"/>
        </w:rPr>
      </w:pPr>
    </w:p>
    <w:sectPr>
      <w:pgSz w:w="11906" w:h="16838"/>
      <w:pgMar w:top="1440" w:right="1800" w:bottom="1440" w:left="1800" w:header="851" w:footer="992" w:gutter="0"/>
      <w:pgNumType w:fmt="upperRoman"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8E87EB6"/>
    <w:rsid w:val="0001019D"/>
    <w:rsid w:val="0011026C"/>
    <w:rsid w:val="00121209"/>
    <w:rsid w:val="001330DE"/>
    <w:rsid w:val="001C0185"/>
    <w:rsid w:val="002A78F3"/>
    <w:rsid w:val="002B74C9"/>
    <w:rsid w:val="003343CB"/>
    <w:rsid w:val="00356142"/>
    <w:rsid w:val="00481790"/>
    <w:rsid w:val="005F2480"/>
    <w:rsid w:val="00643BE9"/>
    <w:rsid w:val="00696E76"/>
    <w:rsid w:val="00751A1A"/>
    <w:rsid w:val="00760ADC"/>
    <w:rsid w:val="007634B0"/>
    <w:rsid w:val="00835152"/>
    <w:rsid w:val="008524E1"/>
    <w:rsid w:val="008934C9"/>
    <w:rsid w:val="008C542A"/>
    <w:rsid w:val="008D5CA9"/>
    <w:rsid w:val="009436C0"/>
    <w:rsid w:val="009B6471"/>
    <w:rsid w:val="00A61D97"/>
    <w:rsid w:val="00B84099"/>
    <w:rsid w:val="00BD7E57"/>
    <w:rsid w:val="00C91007"/>
    <w:rsid w:val="00CC30DB"/>
    <w:rsid w:val="00CF14FA"/>
    <w:rsid w:val="00D25442"/>
    <w:rsid w:val="00E74F60"/>
    <w:rsid w:val="0104299A"/>
    <w:rsid w:val="014A06B6"/>
    <w:rsid w:val="01742A72"/>
    <w:rsid w:val="01DA336E"/>
    <w:rsid w:val="05E42E29"/>
    <w:rsid w:val="061E09E3"/>
    <w:rsid w:val="06A43BA7"/>
    <w:rsid w:val="087A6196"/>
    <w:rsid w:val="0C5A5250"/>
    <w:rsid w:val="0C64513E"/>
    <w:rsid w:val="0C840739"/>
    <w:rsid w:val="0DE649EC"/>
    <w:rsid w:val="0EE25EB1"/>
    <w:rsid w:val="0FE14009"/>
    <w:rsid w:val="10CB3E8D"/>
    <w:rsid w:val="11F35FF2"/>
    <w:rsid w:val="179A58B8"/>
    <w:rsid w:val="1B4A6025"/>
    <w:rsid w:val="1DF453AF"/>
    <w:rsid w:val="1E107510"/>
    <w:rsid w:val="1E643EFE"/>
    <w:rsid w:val="209E0EC3"/>
    <w:rsid w:val="22140CC1"/>
    <w:rsid w:val="24D63713"/>
    <w:rsid w:val="2A937DAC"/>
    <w:rsid w:val="2DB60033"/>
    <w:rsid w:val="2F754CA8"/>
    <w:rsid w:val="2FB928F6"/>
    <w:rsid w:val="341824CB"/>
    <w:rsid w:val="343F3937"/>
    <w:rsid w:val="34D53928"/>
    <w:rsid w:val="36805BAD"/>
    <w:rsid w:val="37015ED3"/>
    <w:rsid w:val="37F03C58"/>
    <w:rsid w:val="39E01B38"/>
    <w:rsid w:val="3F5C42DA"/>
    <w:rsid w:val="42BD6527"/>
    <w:rsid w:val="43E475B8"/>
    <w:rsid w:val="458B37F5"/>
    <w:rsid w:val="467D2DBE"/>
    <w:rsid w:val="48832669"/>
    <w:rsid w:val="48E87EB6"/>
    <w:rsid w:val="4A4F3891"/>
    <w:rsid w:val="4AFA4BB2"/>
    <w:rsid w:val="4D9B3CEE"/>
    <w:rsid w:val="4E5E7BB0"/>
    <w:rsid w:val="4EBA5260"/>
    <w:rsid w:val="522F50B0"/>
    <w:rsid w:val="52567629"/>
    <w:rsid w:val="554502CC"/>
    <w:rsid w:val="57FA3076"/>
    <w:rsid w:val="582B68F4"/>
    <w:rsid w:val="5D083F24"/>
    <w:rsid w:val="5D306324"/>
    <w:rsid w:val="60860A87"/>
    <w:rsid w:val="60B46440"/>
    <w:rsid w:val="61C6166E"/>
    <w:rsid w:val="635C762A"/>
    <w:rsid w:val="6A0213FA"/>
    <w:rsid w:val="6A8A04AE"/>
    <w:rsid w:val="6FD93AE0"/>
    <w:rsid w:val="70803134"/>
    <w:rsid w:val="71FC58C7"/>
    <w:rsid w:val="7249546B"/>
    <w:rsid w:val="729F0AAD"/>
    <w:rsid w:val="76057492"/>
    <w:rsid w:val="7C7014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8">
    <w:name w:val="Normal Table"/>
    <w:semiHidden/>
    <w:unhideWhenUsed/>
    <w:qFormat/>
    <w:uiPriority w:val="99"/>
    <w:pPr>
      <w:keepNext w:val="0"/>
      <w:keepLines w:val="0"/>
      <w:widowControl/>
      <w:suppressLineNumbers w:val="0"/>
      <w:spacing w:before="0" w:beforeAutospacing="0" w:after="0" w:afterAutospacing="0"/>
      <w:ind w:left="0" w:right="0"/>
    </w:pPr>
    <w:rPr>
      <w:rFonts w:ascii="Calibri" w:hAnsi="Calibri" w:eastAsia="宋体" w:cs="Times New Roman"/>
      <w:kern w:val="2"/>
      <w:sz w:val="21"/>
      <w:szCs w:val="22"/>
    </w:rPr>
    <w:tblPr>
      <w:tblLayout w:type="fixed"/>
      <w:tblCellMar>
        <w:top w:w="0" w:type="dxa"/>
        <w:left w:w="108" w:type="dxa"/>
        <w:bottom w:w="0" w:type="dxa"/>
        <w:right w:w="108" w:type="dxa"/>
      </w:tblCellMar>
    </w:tblPr>
  </w:style>
  <w:style w:type="paragraph" w:styleId="2">
    <w:name w:val="table of authorities"/>
    <w:basedOn w:val="1"/>
    <w:next w:val="1"/>
    <w:qFormat/>
    <w:uiPriority w:val="0"/>
    <w:pPr>
      <w:ind w:left="420" w:leftChars="200"/>
    </w:pPr>
  </w:style>
  <w:style w:type="paragraph" w:styleId="3">
    <w:name w:val="footer"/>
    <w:basedOn w:val="1"/>
    <w:link w:val="10"/>
    <w:qFormat/>
    <w:uiPriority w:val="99"/>
    <w:pPr>
      <w:tabs>
        <w:tab w:val="center" w:pos="4153"/>
        <w:tab w:val="right" w:pos="8306"/>
      </w:tabs>
      <w:snapToGrid w:val="0"/>
      <w:jc w:val="left"/>
    </w:pPr>
    <w:rPr>
      <w:sz w:val="18"/>
      <w:szCs w:val="18"/>
    </w:rPr>
  </w:style>
  <w:style w:type="paragraph" w:styleId="4">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spacing w:before="100" w:beforeAutospacing="1" w:after="100" w:afterAutospacing="1"/>
      <w:jc w:val="left"/>
    </w:pPr>
    <w:rPr>
      <w:rFonts w:ascii="Calibri" w:hAnsi="Calibri" w:eastAsia="宋体" w:cs="Times New Roman"/>
      <w:kern w:val="0"/>
      <w:sz w:val="24"/>
      <w:szCs w:val="20"/>
    </w:rPr>
  </w:style>
  <w:style w:type="character" w:styleId="7">
    <w:name w:val="Strong"/>
    <w:basedOn w:val="6"/>
    <w:qFormat/>
    <w:uiPriority w:val="0"/>
    <w:rPr>
      <w:b/>
    </w:rPr>
  </w:style>
  <w:style w:type="character" w:customStyle="1" w:styleId="9">
    <w:name w:val="页眉 字符"/>
    <w:basedOn w:val="6"/>
    <w:link w:val="4"/>
    <w:qFormat/>
    <w:uiPriority w:val="0"/>
    <w:rPr>
      <w:rFonts w:asciiTheme="minorHAnsi" w:hAnsiTheme="minorHAnsi" w:eastAsiaTheme="minorEastAsia" w:cstheme="minorBidi"/>
      <w:kern w:val="2"/>
      <w:sz w:val="18"/>
      <w:szCs w:val="18"/>
    </w:rPr>
  </w:style>
  <w:style w:type="character" w:customStyle="1" w:styleId="10">
    <w:name w:val="页脚 字符"/>
    <w:basedOn w:val="6"/>
    <w:link w:val="3"/>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F65FEA0-24F4-4537-AEB8-CE9BAE222016}">
  <ds:schemaRefs/>
</ds:datastoreItem>
</file>

<file path=docProps/app.xml><?xml version="1.0" encoding="utf-8"?>
<Properties xmlns="http://schemas.openxmlformats.org/officeDocument/2006/extended-properties" xmlns:vt="http://schemas.openxmlformats.org/officeDocument/2006/docPropsVTypes">
  <Template>Normal.dotm</Template>
  <Pages>11</Pages>
  <Words>579</Words>
  <Characters>3306</Characters>
  <Lines>27</Lines>
  <Paragraphs>7</Paragraphs>
  <ScaleCrop>false</ScaleCrop>
  <LinksUpToDate>false</LinksUpToDate>
  <CharactersWithSpaces>3878</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2021-05-21T02:08:00Z</dcterms:created>
  <dc:creator>亚亚</dc:creator>
  <cp:lastModifiedBy>Administrator</cp:lastModifiedBy>
  <cp:lastPrinted>2019-09-11T06:01:00Z</cp:lastPrinted>
  <dcterms:modified xsi:type="dcterms:W3CDTF">2021-06-02T11:50:22Z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y fmtid="{D5CDD505-2E9C-101B-9397-08002B2CF9AE}" pid="3" name="ICV">
    <vt:lpwstr>F8AC168E0CDC4D6BBB411B7F957A1AF8</vt:lpwstr>
  </property>
</Properties>
</file>