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color w:val="000000" w:themeColor="text1"/>
          <w:sz w:val="44"/>
          <w:szCs w:val="44"/>
        </w:rPr>
      </w:pPr>
      <w:r>
        <w:rPr>
          <w:rFonts w:hint="eastAsia" w:ascii="黑体" w:hAnsi="黑体" w:eastAsia="黑体" w:cstheme="minorEastAsia"/>
          <w:color w:val="000000" w:themeColor="text1"/>
          <w:sz w:val="44"/>
          <w:szCs w:val="44"/>
        </w:rPr>
        <w:t>襄垣县</w:t>
      </w:r>
      <w:r>
        <w:rPr>
          <w:rFonts w:hint="eastAsia" w:ascii="Arial" w:hAnsi="Arial" w:eastAsia="黑体" w:cs="Arial"/>
          <w:color w:val="000000" w:themeColor="text1"/>
          <w:sz w:val="44"/>
          <w:szCs w:val="44"/>
        </w:rPr>
        <w:t>文化和旅游局</w:t>
      </w:r>
    </w:p>
    <w:p>
      <w:pPr>
        <w:jc w:val="center"/>
        <w:rPr>
          <w:rFonts w:ascii="黑体" w:hAnsi="黑体" w:eastAsia="黑体" w:cstheme="minorEastAsia"/>
          <w:color w:val="000000" w:themeColor="text1"/>
          <w:sz w:val="44"/>
          <w:szCs w:val="44"/>
        </w:rPr>
      </w:pPr>
      <w:r>
        <w:rPr>
          <w:rFonts w:hint="eastAsia" w:ascii="黑体" w:hAnsi="黑体" w:eastAsia="黑体" w:cstheme="minorEastAsia"/>
          <w:color w:val="000000" w:themeColor="text1"/>
          <w:sz w:val="44"/>
          <w:szCs w:val="44"/>
        </w:rPr>
        <w:t>2020年部门预算公开情况说明</w:t>
      </w:r>
    </w:p>
    <w:p>
      <w:pPr>
        <w:ind w:firstLine="640" w:firstLineChars="200"/>
        <w:rPr>
          <w:rFonts w:asciiTheme="minorEastAsia" w:hAnsiTheme="minorEastAsia" w:cstheme="minorEastAsia"/>
          <w:color w:val="000000" w:themeColor="text1"/>
          <w:sz w:val="32"/>
          <w:szCs w:val="32"/>
        </w:rPr>
      </w:pPr>
    </w:p>
    <w:p>
      <w:pPr>
        <w:ind w:firstLine="643" w:firstLineChars="200"/>
        <w:rPr>
          <w:rFonts w:ascii="楷体" w:hAnsi="楷体" w:eastAsia="楷体" w:cstheme="minorEastAsia"/>
          <w:b/>
          <w:color w:val="000000" w:themeColor="text1"/>
          <w:sz w:val="32"/>
          <w:szCs w:val="32"/>
        </w:rPr>
      </w:pPr>
      <w:r>
        <w:rPr>
          <w:rFonts w:hint="eastAsia" w:ascii="楷体" w:hAnsi="楷体" w:eastAsia="楷体" w:cstheme="minorEastAsia"/>
          <w:b/>
          <w:color w:val="000000" w:themeColor="text1"/>
          <w:sz w:val="32"/>
          <w:szCs w:val="32"/>
        </w:rPr>
        <w:t>一、部门主要职能</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一）贯彻执行党和国家关于文化艺术、广播影视、体育事业、文化遗产、新闻出版、著作权工作的方针政策和法律法规；研究拟定全县文化艺术、广播影视、体育事业、文化遗产、新闻出版、著作权管理的有关政策规定、发展规划，管理规章并组织实施；指导全县文化艺术、广播影视、新闻出版领域的体制机制改革。</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（二）贯彻落实国务院及省人民政府颁布取消和调整的行政审批事项，履行全县文化、体育、广播、影视、新闻出版的行政管理、监察、执法职责，组织协调全县“扫黄”、“打非”工作。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（三）组织实施非物质文化遗产保护规划，管理、指导非物质文化遗产保护和优秀民族文化的传承普及工作。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四）综合管理全县从事演艺活动的民办机构和广播电影电视节目制作的民办机构、工艺美术行业。对文化、体育、广播影视、新闻出版、非物质文化遗产等各类民办企业单位、社团、基金会进行登记前审查和日常管理监督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五）监督管理全县从事出版活动的民办机构、体育社团、体育类民办非企业单位、健身气功活动及站点、武术学校、少儿体育学校，以及各类体育经营活动、游泳场所、体育彩票发行，体育竞赛、公共体育设施、危险性体育等的经营活动，促进全县体育事业健康发展。</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六）综合管理全县社会文化、艺术事业，指导管理全县重大文化艺术活动、艺术创作，指导全县文化艺术团体建设，指导文化广播影视创作与研究工作。参与规划全县文化设施建设，负责推进公共文化服务体系建设，管理全县对外文化交流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七）综合管理全县体育事业，组织指导全县重大文化体育活动和经营性文化艺术、体育锻炼培训、社会艺术水平考级活动。管理全县图书、文化馆、电影事业，指导各类社会文化体育事业的建设与发展。负责对外文化体育交流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（八）负责信息网络视听节目（包括影视类音像制品的网上播放）服务和公共视听载体播放节目的业务监督管理工作。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（九）负责著作权保护工作。</w:t>
      </w:r>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十）管理全县广播影视事业。负责对全县广播影视机构播出和通过信息网络向公众传播的广播电视节目工作及放映情况的监管；负责广播电视节目、卫星电视节目、卫星地面接收设施的安全播出工作；负责制订全县网络的总体规划。</w:t>
      </w:r>
    </w:p>
    <w:p>
      <w:pPr>
        <w:spacing w:line="6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（十一）研究拟定全县文化产业、体育产业发展规划和政策规定，指导、协调全县文化、体育产业发展，会同有关部门开展文化、体育产业统计工作。</w:t>
      </w:r>
    </w:p>
    <w:p>
      <w:pPr>
        <w:spacing w:line="6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（十二）指导、组织全县文化人才队伍建设；负责相关系列专业技术职务资格评聘有关工作；管理行业的教育培训工作。</w:t>
      </w:r>
    </w:p>
    <w:p>
      <w:pPr>
        <w:spacing w:line="600" w:lineRule="exact"/>
        <w:ind w:firstLine="640" w:firstLineChars="200"/>
        <w:rPr>
          <w:rFonts w:ascii="仿宋" w:hAnsi="仿宋" w:eastAsia="仿宋" w:cs="仿宋"/>
          <w:color w:val="000000" w:themeColor="text1"/>
          <w:sz w:val="32"/>
          <w:szCs w:val="32"/>
        </w:rPr>
      </w:pPr>
      <w:r>
        <w:rPr>
          <w:rFonts w:hint="eastAsia" w:ascii="仿宋_GB2312" w:eastAsia="仿宋_GB2312"/>
          <w:color w:val="000000" w:themeColor="text1"/>
          <w:sz w:val="32"/>
          <w:szCs w:val="32"/>
        </w:rPr>
        <w:t>（十三）承办县人民政府交办的其他事项。</w:t>
      </w:r>
    </w:p>
    <w:p>
      <w:pPr>
        <w:ind w:firstLine="643" w:firstLineChars="200"/>
        <w:rPr>
          <w:rFonts w:ascii="楷体" w:hAnsi="楷体" w:eastAsia="楷体" w:cstheme="minorEastAsia"/>
          <w:b/>
          <w:color w:val="000000" w:themeColor="text1"/>
          <w:sz w:val="32"/>
          <w:szCs w:val="32"/>
        </w:rPr>
      </w:pPr>
      <w:r>
        <w:rPr>
          <w:rFonts w:hint="eastAsia" w:ascii="楷体" w:hAnsi="楷体" w:eastAsia="楷体" w:cstheme="minorEastAsia"/>
          <w:b/>
          <w:color w:val="000000" w:themeColor="text1"/>
          <w:sz w:val="32"/>
          <w:szCs w:val="32"/>
        </w:rPr>
        <w:t>二、部门基本情况</w:t>
      </w:r>
    </w:p>
    <w:p>
      <w:pPr>
        <w:widowControl/>
        <w:spacing w:line="324" w:lineRule="atLeast"/>
        <w:ind w:left="540"/>
        <w:jc w:val="left"/>
        <w:rPr>
          <w:rFonts w:ascii="仿宋_GB2312" w:hAnsi="楷体" w:eastAsia="仿宋_GB2312" w:cs="宋体"/>
          <w:bCs/>
          <w:color w:val="000000" w:themeColor="text1"/>
          <w:kern w:val="0"/>
          <w:sz w:val="18"/>
          <w:szCs w:val="18"/>
        </w:rPr>
      </w:pPr>
      <w:r>
        <w:rPr>
          <w:rFonts w:hint="eastAsia" w:ascii="仿宋_GB2312" w:hAnsi="楷体" w:eastAsia="仿宋_GB2312" w:cs="宋体"/>
          <w:bCs/>
          <w:color w:val="000000" w:themeColor="text1"/>
          <w:kern w:val="0"/>
          <w:sz w:val="32"/>
          <w:szCs w:val="32"/>
        </w:rPr>
        <w:t>（一）机构设置情况</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襄垣县文化和旅游局机关内设</w:t>
      </w:r>
      <w:r>
        <w:rPr>
          <w:rFonts w:ascii="仿宋" w:hAnsi="仿宋" w:eastAsia="仿宋"/>
          <w:color w:val="000000" w:themeColor="text1"/>
          <w:sz w:val="32"/>
          <w:szCs w:val="32"/>
        </w:rPr>
        <w:t>6</w:t>
      </w:r>
      <w:r>
        <w:rPr>
          <w:rFonts w:hint="eastAsia" w:ascii="仿宋" w:hAnsi="仿宋" w:eastAsia="仿宋"/>
          <w:color w:val="000000" w:themeColor="text1"/>
          <w:sz w:val="32"/>
          <w:szCs w:val="32"/>
        </w:rPr>
        <w:t>个职能股室，职能股室分别为：</w:t>
      </w:r>
      <w:r>
        <w:rPr>
          <w:rFonts w:hint="eastAsia" w:ascii="仿宋_GB2312" w:eastAsia="仿宋_GB2312"/>
          <w:color w:val="000000" w:themeColor="text1"/>
          <w:sz w:val="30"/>
          <w:szCs w:val="30"/>
        </w:rPr>
        <w:t>办公室、财务科、综合科、法制宣教科、安全监管科</w:t>
      </w:r>
      <w:r>
        <w:rPr>
          <w:rFonts w:hint="eastAsia" w:ascii="仿宋" w:hAnsi="仿宋" w:eastAsia="仿宋"/>
          <w:color w:val="000000" w:themeColor="text1"/>
          <w:sz w:val="32"/>
          <w:szCs w:val="32"/>
        </w:rPr>
        <w:t>。下辖</w:t>
      </w:r>
      <w:r>
        <w:rPr>
          <w:rFonts w:hint="eastAsia" w:ascii="仿宋_GB2312" w:eastAsia="仿宋_GB2312"/>
          <w:color w:val="000000" w:themeColor="text1"/>
          <w:sz w:val="30"/>
          <w:szCs w:val="30"/>
        </w:rPr>
        <w:t>文化市场行政综合执法队（副科级全额事业单位），美术馆（非物质文化遗产保护中心）、文化馆、图书馆（股级全额事业单位）</w:t>
      </w:r>
      <w:r>
        <w:rPr>
          <w:rFonts w:hint="eastAsia" w:ascii="仿宋" w:hAnsi="仿宋" w:eastAsia="仿宋"/>
          <w:color w:val="000000" w:themeColor="text1"/>
          <w:sz w:val="32"/>
          <w:szCs w:val="32"/>
        </w:rPr>
        <w:t>。</w:t>
      </w:r>
    </w:p>
    <w:p>
      <w:pPr>
        <w:ind w:firstLine="645"/>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 xml:space="preserve"> </w:t>
      </w:r>
    </w:p>
    <w:p>
      <w:pPr>
        <w:widowControl/>
        <w:spacing w:line="324" w:lineRule="atLeast"/>
        <w:ind w:left="540"/>
        <w:jc w:val="left"/>
        <w:rPr>
          <w:rFonts w:ascii="仿宋_GB2312" w:hAnsi="楷体" w:eastAsia="仿宋_GB2312" w:cs="宋体"/>
          <w:bCs/>
          <w:color w:val="000000" w:themeColor="text1"/>
          <w:kern w:val="0"/>
          <w:sz w:val="32"/>
          <w:szCs w:val="32"/>
        </w:rPr>
      </w:pPr>
      <w:r>
        <w:rPr>
          <w:rFonts w:hint="eastAsia" w:ascii="仿宋_GB2312" w:hAnsi="楷体" w:eastAsia="仿宋_GB2312" w:cs="宋体"/>
          <w:bCs/>
          <w:color w:val="000000" w:themeColor="text1"/>
          <w:kern w:val="0"/>
          <w:sz w:val="32"/>
          <w:szCs w:val="32"/>
        </w:rPr>
        <w:t>（二）人员情况说明</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文旅局现有行政、事业编制</w:t>
      </w:r>
      <w:r>
        <w:rPr>
          <w:rFonts w:ascii="仿宋" w:hAnsi="仿宋" w:eastAsia="仿宋"/>
          <w:color w:val="000000" w:themeColor="text1"/>
          <w:sz w:val="32"/>
          <w:szCs w:val="32"/>
        </w:rPr>
        <w:t>2</w:t>
      </w:r>
      <w:r>
        <w:rPr>
          <w:rFonts w:hint="eastAsia" w:ascii="仿宋" w:hAnsi="仿宋" w:eastAsia="仿宋"/>
          <w:color w:val="000000" w:themeColor="text1"/>
          <w:sz w:val="32"/>
          <w:szCs w:val="32"/>
        </w:rPr>
        <w:t>3名，其中，行政编制</w:t>
      </w:r>
      <w:r>
        <w:rPr>
          <w:rFonts w:ascii="仿宋" w:hAnsi="仿宋" w:eastAsia="仿宋"/>
          <w:color w:val="000000" w:themeColor="text1"/>
          <w:sz w:val="32"/>
          <w:szCs w:val="32"/>
        </w:rPr>
        <w:t>8</w:t>
      </w:r>
      <w:r>
        <w:rPr>
          <w:rFonts w:hint="eastAsia" w:ascii="仿宋" w:hAnsi="仿宋" w:eastAsia="仿宋"/>
          <w:color w:val="000000" w:themeColor="text1"/>
          <w:sz w:val="32"/>
          <w:szCs w:val="32"/>
        </w:rPr>
        <w:t>名，事业编制</w:t>
      </w:r>
      <w:r>
        <w:rPr>
          <w:rFonts w:ascii="仿宋" w:hAnsi="仿宋" w:eastAsia="仿宋"/>
          <w:color w:val="000000" w:themeColor="text1"/>
          <w:sz w:val="32"/>
          <w:szCs w:val="32"/>
        </w:rPr>
        <w:t>1</w:t>
      </w:r>
      <w:r>
        <w:rPr>
          <w:rFonts w:hint="eastAsia" w:ascii="仿宋" w:hAnsi="仿宋" w:eastAsia="仿宋"/>
          <w:color w:val="000000" w:themeColor="text1"/>
          <w:sz w:val="32"/>
          <w:szCs w:val="32"/>
        </w:rPr>
        <w:t>5名。实有</w:t>
      </w:r>
      <w:r>
        <w:rPr>
          <w:rFonts w:ascii="仿宋" w:hAnsi="仿宋" w:eastAsia="仿宋"/>
          <w:color w:val="000000" w:themeColor="text1"/>
          <w:sz w:val="32"/>
          <w:szCs w:val="32"/>
        </w:rPr>
        <w:t>17</w:t>
      </w:r>
      <w:r>
        <w:rPr>
          <w:rFonts w:hint="eastAsia" w:ascii="仿宋" w:hAnsi="仿宋" w:eastAsia="仿宋"/>
          <w:color w:val="000000" w:themeColor="text1"/>
          <w:sz w:val="32"/>
          <w:szCs w:val="32"/>
        </w:rPr>
        <w:t>人，其中公务员</w:t>
      </w:r>
      <w:r>
        <w:rPr>
          <w:rFonts w:ascii="仿宋" w:hAnsi="仿宋" w:eastAsia="仿宋"/>
          <w:color w:val="000000" w:themeColor="text1"/>
          <w:sz w:val="32"/>
          <w:szCs w:val="32"/>
        </w:rPr>
        <w:t>6</w:t>
      </w:r>
      <w:r>
        <w:rPr>
          <w:rFonts w:hint="eastAsia" w:ascii="仿宋" w:hAnsi="仿宋" w:eastAsia="仿宋"/>
          <w:color w:val="000000" w:themeColor="text1"/>
          <w:sz w:val="32"/>
          <w:szCs w:val="32"/>
        </w:rPr>
        <w:t>名，事业人员13名。</w:t>
      </w:r>
    </w:p>
    <w:p>
      <w:pPr>
        <w:ind w:firstLine="640" w:firstLineChars="200"/>
        <w:rPr>
          <w:rFonts w:ascii="黑体" w:hAnsi="黑体" w:eastAsia="黑体" w:cstheme="minorEastAsia"/>
          <w:color w:val="000000" w:themeColor="text1"/>
          <w:sz w:val="32"/>
          <w:szCs w:val="32"/>
        </w:rPr>
      </w:pPr>
      <w:r>
        <w:rPr>
          <w:rFonts w:hint="eastAsia" w:ascii="黑体" w:hAnsi="黑体" w:eastAsia="黑体" w:cstheme="minorEastAsia"/>
          <w:color w:val="000000" w:themeColor="text1"/>
          <w:sz w:val="32"/>
          <w:szCs w:val="32"/>
        </w:rPr>
        <w:t>三、预算收支增减变化情况说明</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襄垣县文化和旅游局2020年度收入、支出预算总计814.64万元，与上年相比收、支预算总计各增加26.32 万元，增长3.34 %。主要原因是项目增加。其中：项目支出增加</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（一）收入预算总计814.64 万元。包括：</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1．财政拨款收入预算总计814.64万元。</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（1）一般公共预算收入预算814.64万元，与上年相比增加26.32万元，增长3.34  %。主要原因是项目增加等原因。</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（2）政府性基金收入预算0万元，与上年相比增加（减少） 万元，增长（减少）0 %。主要原因是没有政府性基金收入预算。</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2．财政专户管理资金收入预算总计0 万元。与上年相比增加（减少） 0万元，增长（减少）0 %。主要原因是没有财政专户管理资金收入预算。</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3．其他资金收入预算总计0万元。与上年相比增加（减少）  万元，增长（减少）0%。主要原因是没有其他资金收入预算。</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4．上年结转资金预算数为0万元。与上年相比增加（减少）0 万元，增长（减少）  %。主要原因是没有上年结转资金预算。</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（二）支出预算总计814.64万元。包括：</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1．一般公共服务（类）支出814.64万元，主要用于工资和项目支出。与上年相比增加26.32万元，增长3.34 %。主要原因是项目增加。</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2．公共安全（类）支出0 万元，主要没有公共安全（类）支出。与上年相比增加（减少）0 万元，增长（减少）  %。主要原因是没有公共安全（类）支出。</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3．结转下年资金预算数为0万元，主要原因是结转下年资金预算数。</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此外，基本支出预算数为385.58万元。与上年相比减少159.84万元，减少29.31%。主要原因是退休工资由养老发放。</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项目支出预算数为429.06万元。与上年相比增加186.16</w:t>
      </w:r>
    </w:p>
    <w:p>
      <w:pPr>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 xml:space="preserve">    万元，增长76.64 %。主要原因是项目支出增加。</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单位预留机动经费预算数为0万元。与上年相比增加（减少）0万元，增长（减少）0 %。主要原因是单位没有预留机动经费预算。</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四、机关运行经费安排情况说明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本单位机关运行经费支出预算数为 12.6 万元，较2019年减少24.19万元，其中：办公费支出 1万元、印刷费支出0.5  万元、差旅费支出1.5万元等。主要增减变化情况：人均经费减少。</w:t>
      </w:r>
    </w:p>
    <w:p>
      <w:pPr>
        <w:ind w:firstLine="640" w:firstLineChars="200"/>
        <w:rPr>
          <w:rFonts w:ascii="楷体" w:hAnsi="楷体" w:eastAsia="楷体" w:cstheme="minorEastAsia"/>
          <w:bCs/>
          <w:color w:val="000000" w:themeColor="text1"/>
          <w:sz w:val="32"/>
          <w:szCs w:val="32"/>
        </w:rPr>
      </w:pPr>
      <w:r>
        <w:rPr>
          <w:rFonts w:hint="eastAsia" w:ascii="仿宋_GB2312" w:eastAsia="仿宋_GB2312" w:hAnsiTheme="minorEastAsia" w:cstheme="minorEastAsia"/>
          <w:color w:val="000000" w:themeColor="text1"/>
          <w:sz w:val="32"/>
          <w:szCs w:val="32"/>
        </w:rPr>
        <w:t>五、</w:t>
      </w:r>
      <w:r>
        <w:rPr>
          <w:rFonts w:hint="eastAsia" w:ascii="楷体" w:hAnsi="楷体" w:eastAsia="楷体" w:cstheme="minorEastAsia"/>
          <w:bCs/>
          <w:color w:val="000000" w:themeColor="text1"/>
          <w:sz w:val="32"/>
          <w:szCs w:val="32"/>
        </w:rPr>
        <w:t>政府采购安排情况说明</w:t>
      </w:r>
    </w:p>
    <w:p>
      <w:pPr>
        <w:ind w:firstLine="640" w:firstLineChars="200"/>
        <w:rPr>
          <w:rFonts w:hint="eastAsia" w:ascii="仿宋_GB2312" w:eastAsia="仿宋_GB2312" w:hAnsiTheme="minorEastAsia" w:cstheme="minorEastAsia"/>
          <w:color w:val="000000" w:themeColor="text1"/>
          <w:sz w:val="32"/>
          <w:szCs w:val="32"/>
          <w:lang w:val="en-US" w:eastAsia="zh-CN"/>
        </w:rPr>
      </w:pPr>
      <w:r>
        <w:rPr>
          <w:rFonts w:hint="eastAsia" w:ascii="仿宋_GB2312" w:eastAsia="仿宋_GB2312" w:hAnsiTheme="minorEastAsia" w:cstheme="minorEastAsia"/>
          <w:color w:val="000000" w:themeColor="text1"/>
          <w:sz w:val="32"/>
          <w:szCs w:val="32"/>
        </w:rPr>
        <w:t>本部门2020年度政府采购安排</w:t>
      </w:r>
      <w:r>
        <w:rPr>
          <w:rFonts w:hint="eastAsia" w:ascii="仿宋_GB2312" w:eastAsia="仿宋_GB2312" w:hAnsiTheme="minorEastAsia" w:cstheme="minorEastAsia"/>
          <w:color w:val="000000" w:themeColor="text1"/>
          <w:sz w:val="32"/>
          <w:szCs w:val="32"/>
          <w:lang w:val="en-US" w:eastAsia="zh-CN"/>
        </w:rPr>
        <w:t>367.16</w:t>
      </w:r>
      <w:r>
        <w:rPr>
          <w:rFonts w:hint="eastAsia" w:ascii="仿宋_GB2312" w:eastAsia="仿宋_GB2312" w:hAnsiTheme="minorEastAsia" w:cstheme="minorEastAsia"/>
          <w:color w:val="000000" w:themeColor="text1"/>
          <w:sz w:val="32"/>
          <w:szCs w:val="32"/>
        </w:rPr>
        <w:t>万元，其中：政府采购货物支出</w:t>
      </w:r>
      <w:r>
        <w:rPr>
          <w:rFonts w:hint="eastAsia" w:ascii="仿宋_GB2312" w:eastAsia="仿宋_GB2312" w:hAnsiTheme="minorEastAsia" w:cstheme="minorEastAsia"/>
          <w:color w:val="000000" w:themeColor="text1"/>
          <w:sz w:val="32"/>
          <w:szCs w:val="32"/>
          <w:lang w:val="en-US" w:eastAsia="zh-CN"/>
        </w:rPr>
        <w:t>367.17</w:t>
      </w:r>
      <w:r>
        <w:rPr>
          <w:rFonts w:hint="eastAsia" w:ascii="仿宋_GB2312" w:eastAsia="仿宋_GB2312" w:hAnsiTheme="minorEastAsia" w:cstheme="minorEastAsia"/>
          <w:color w:val="000000" w:themeColor="text1"/>
          <w:sz w:val="32"/>
          <w:szCs w:val="32"/>
        </w:rPr>
        <w:t>万元、政府采购工程支出0万元、政府采购服务支出0万元。授予中小企业合同金额0万元，占政府采购支出总额的0%。</w:t>
      </w:r>
      <w:r>
        <w:rPr>
          <w:rFonts w:hint="eastAsia" w:ascii="仿宋_GB2312" w:eastAsia="仿宋_GB2312" w:hAnsiTheme="minorEastAsia" w:cstheme="minorEastAsia"/>
          <w:color w:val="000000" w:themeColor="text1"/>
          <w:sz w:val="32"/>
          <w:szCs w:val="32"/>
          <w:lang w:val="en-US" w:eastAsia="zh-CN"/>
        </w:rPr>
        <w:t xml:space="preserve"> </w:t>
      </w:r>
      <w:bookmarkStart w:id="0" w:name="_GoBack"/>
      <w:bookmarkEnd w:id="0"/>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六、对专业性较强的名词进行解释</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七、国有资产占用情况说明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shd w:val="clear" w:color="auto" w:fill="FFFFFF"/>
        </w:rPr>
        <w:t>截止2020年12月31日，本单位资产总额692.76万元，其中流动资产90.11万元，固定资产1326.08万元，在建工程0万元，无形资产 0.63万元。固定资产当中，房屋构筑物240.78万元，汽车4辆41.34万元，单价200万元以上大型设备价值0万元，其他固定资产1043.96万元。 </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000000" w:themeColor="text1"/>
          <w:sz w:val="32"/>
          <w:szCs w:val="32"/>
          <w:shd w:val="clear" w:color="auto" w:fill="FFFFFF"/>
        </w:rPr>
      </w:pPr>
      <w:r>
        <w:rPr>
          <w:rFonts w:hint="eastAsia" w:ascii="仿宋_GB2312" w:hAnsi="仿宋_GB2312" w:eastAsia="仿宋_GB2312" w:cs="仿宋_GB2312"/>
          <w:color w:val="000000" w:themeColor="text1"/>
          <w:sz w:val="32"/>
          <w:szCs w:val="32"/>
          <w:shd w:val="clear" w:color="auto" w:fill="FFFFFF"/>
        </w:rPr>
        <w:t>与上年相比，本年资产总额增加367.16万元。 </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我单位本年度项目支出1784.42万元，其中：重点项目支出291.87万元，重点工程老物件馆维修改造工程已全部支付完成。</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九、一般公共预算“三公”经费支出增减变化原因等说明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本部门2020年度一般公共预算“三公”经费预算数为万元，，较2019年减少万元，下降%，其中：</w:t>
      </w:r>
    </w:p>
    <w:p>
      <w:pPr>
        <w:numPr>
          <w:ilvl w:val="0"/>
          <w:numId w:val="1"/>
        </w:num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（二）公务接待费支出年初预算数为0万元，较2019年减少0.3万元，下降100%。主要原因是：专项活动减少。本年度国内公务接待共 0批次，共0 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十、政府性基金预算支出预算情况说明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0640DF"/>
    <w:rsid w:val="0011026C"/>
    <w:rsid w:val="00121209"/>
    <w:rsid w:val="001330DE"/>
    <w:rsid w:val="001C0185"/>
    <w:rsid w:val="001D1011"/>
    <w:rsid w:val="002A78F3"/>
    <w:rsid w:val="002B74C9"/>
    <w:rsid w:val="002F2049"/>
    <w:rsid w:val="003343CB"/>
    <w:rsid w:val="00356142"/>
    <w:rsid w:val="00481790"/>
    <w:rsid w:val="0048587B"/>
    <w:rsid w:val="004D0656"/>
    <w:rsid w:val="004F4558"/>
    <w:rsid w:val="00576E11"/>
    <w:rsid w:val="005F2480"/>
    <w:rsid w:val="00643BE9"/>
    <w:rsid w:val="00696E76"/>
    <w:rsid w:val="00751A1A"/>
    <w:rsid w:val="00760ADC"/>
    <w:rsid w:val="007634B0"/>
    <w:rsid w:val="00835152"/>
    <w:rsid w:val="008524E1"/>
    <w:rsid w:val="008934C9"/>
    <w:rsid w:val="008C542A"/>
    <w:rsid w:val="008D5CA9"/>
    <w:rsid w:val="009436C0"/>
    <w:rsid w:val="009A2ED4"/>
    <w:rsid w:val="009B6471"/>
    <w:rsid w:val="00A61D97"/>
    <w:rsid w:val="00B174A8"/>
    <w:rsid w:val="00B84099"/>
    <w:rsid w:val="00BD7E57"/>
    <w:rsid w:val="00C91007"/>
    <w:rsid w:val="00CC30DB"/>
    <w:rsid w:val="00CF14FA"/>
    <w:rsid w:val="00D25442"/>
    <w:rsid w:val="00E65B15"/>
    <w:rsid w:val="00E74F60"/>
    <w:rsid w:val="014A06B6"/>
    <w:rsid w:val="01742A72"/>
    <w:rsid w:val="018E36F5"/>
    <w:rsid w:val="01DA336E"/>
    <w:rsid w:val="05E42E29"/>
    <w:rsid w:val="061E09E3"/>
    <w:rsid w:val="06A43BA7"/>
    <w:rsid w:val="087A6196"/>
    <w:rsid w:val="090A4D69"/>
    <w:rsid w:val="0C5A5250"/>
    <w:rsid w:val="0C64513E"/>
    <w:rsid w:val="0DE649EC"/>
    <w:rsid w:val="0EE25EB1"/>
    <w:rsid w:val="10CB3E8D"/>
    <w:rsid w:val="11F35FF2"/>
    <w:rsid w:val="179A58B8"/>
    <w:rsid w:val="17E90135"/>
    <w:rsid w:val="1B4A6025"/>
    <w:rsid w:val="1B6137B3"/>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00E36F0"/>
    <w:rsid w:val="522F50B0"/>
    <w:rsid w:val="52567629"/>
    <w:rsid w:val="582B68F4"/>
    <w:rsid w:val="5D083F24"/>
    <w:rsid w:val="5D306324"/>
    <w:rsid w:val="5E0B45F3"/>
    <w:rsid w:val="60860A87"/>
    <w:rsid w:val="60B46440"/>
    <w:rsid w:val="61C6166E"/>
    <w:rsid w:val="635C762A"/>
    <w:rsid w:val="6C155244"/>
    <w:rsid w:val="6FD93AE0"/>
    <w:rsid w:val="71715484"/>
    <w:rsid w:val="71FC58C7"/>
    <w:rsid w:val="7249546B"/>
    <w:rsid w:val="729F0AAD"/>
    <w:rsid w:val="75F45C0F"/>
    <w:rsid w:val="7C7014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Template>
  <Pages>9</Pages>
  <Words>592</Words>
  <Characters>3375</Characters>
  <Lines>28</Lines>
  <Paragraphs>7</Paragraphs>
  <TotalTime>12</TotalTime>
  <ScaleCrop>false</ScaleCrop>
  <LinksUpToDate>false</LinksUpToDate>
  <CharactersWithSpaces>3960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小弋龙</cp:lastModifiedBy>
  <cp:lastPrinted>2019-09-11T06:01:00Z</cp:lastPrinted>
  <dcterms:modified xsi:type="dcterms:W3CDTF">2021-06-03T02:43:11Z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F8AC168E0CDC4D6BBB411B7F957A1AF8</vt:lpwstr>
  </property>
</Properties>
</file>