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600" w:lineRule="exact"/>
        <w:ind w:left="0"/>
        <w:jc w:val="center"/>
        <w:textAlignment w:val="auto"/>
        <w:rPr>
          <w:rFonts w:ascii="Times New Roman" w:hAnsi="Times New Roman" w:eastAsia="黑体" w:cs="Times New Roman"/>
          <w:sz w:val="44"/>
          <w:szCs w:val="44"/>
        </w:rPr>
      </w:pPr>
      <w:bookmarkStart w:id="0" w:name="_GoBack"/>
    </w:p>
    <w:p>
      <w:pPr>
        <w:keepNext w:val="0"/>
        <w:keepLines w:val="0"/>
        <w:pageBreakBefore w:val="0"/>
        <w:kinsoku/>
        <w:wordWrap/>
        <w:overflowPunct/>
        <w:topLinePunct w:val="0"/>
        <w:autoSpaceDE/>
        <w:autoSpaceDN/>
        <w:bidi w:val="0"/>
        <w:adjustRightInd w:val="0"/>
        <w:snapToGrid w:val="0"/>
        <w:spacing w:line="600" w:lineRule="exact"/>
        <w:ind w:left="0"/>
        <w:jc w:val="center"/>
        <w:textAlignment w:val="auto"/>
        <w:rPr>
          <w:rFonts w:ascii="Times New Roman" w:hAnsi="Times New Roman" w:eastAsia="黑体" w:cs="Times New Roman"/>
          <w:sz w:val="44"/>
          <w:szCs w:val="44"/>
        </w:rPr>
      </w:pPr>
      <w:r>
        <w:rPr>
          <w:rFonts w:hint="eastAsia" w:ascii="Times New Roman" w:hAnsi="Times New Roman" w:eastAsia="黑体" w:cs="黑体"/>
          <w:sz w:val="44"/>
          <w:szCs w:val="44"/>
        </w:rPr>
        <w:t>襄垣县</w:t>
      </w:r>
      <w:r>
        <w:rPr>
          <w:rFonts w:hint="eastAsia" w:ascii="Times New Roman" w:hAnsi="Times New Roman" w:eastAsia="黑体" w:cs="黑体"/>
          <w:sz w:val="44"/>
          <w:szCs w:val="44"/>
        </w:rPr>
        <w:t>旅游发展中心</w:t>
      </w:r>
    </w:p>
    <w:p>
      <w:pPr>
        <w:keepNext w:val="0"/>
        <w:keepLines w:val="0"/>
        <w:pageBreakBefore w:val="0"/>
        <w:kinsoku/>
        <w:wordWrap/>
        <w:overflowPunct/>
        <w:topLinePunct w:val="0"/>
        <w:autoSpaceDE/>
        <w:autoSpaceDN/>
        <w:bidi w:val="0"/>
        <w:adjustRightInd w:val="0"/>
        <w:snapToGrid w:val="0"/>
        <w:spacing w:line="600" w:lineRule="exact"/>
        <w:ind w:left="0"/>
        <w:jc w:val="center"/>
        <w:textAlignment w:val="auto"/>
        <w:rPr>
          <w:rFonts w:ascii="Times New Roman" w:hAnsi="Times New Roman" w:eastAsia="黑体" w:cs="Times New Roman"/>
          <w:sz w:val="44"/>
          <w:szCs w:val="44"/>
        </w:rPr>
      </w:pPr>
      <w:r>
        <w:rPr>
          <w:rFonts w:ascii="Times New Roman" w:hAnsi="Times New Roman" w:eastAsia="黑体" w:cs="黑体"/>
          <w:sz w:val="44"/>
          <w:szCs w:val="44"/>
        </w:rPr>
        <w:t>2020</w:t>
      </w:r>
      <w:r>
        <w:rPr>
          <w:rFonts w:hint="eastAsia" w:ascii="Times New Roman" w:hAnsi="Times New Roman" w:eastAsia="黑体" w:cs="黑体"/>
          <w:sz w:val="44"/>
          <w:szCs w:val="44"/>
        </w:rPr>
        <w:t>年部门预算公开情况说明</w:t>
      </w:r>
    </w:p>
    <w:p>
      <w:pPr>
        <w:keepNext w:val="0"/>
        <w:keepLines w:val="0"/>
        <w:pageBreakBefore w:val="0"/>
        <w:kinsoku/>
        <w:wordWrap/>
        <w:overflowPunct/>
        <w:topLinePunct w:val="0"/>
        <w:autoSpaceDE/>
        <w:autoSpaceDN/>
        <w:bidi w:val="0"/>
        <w:adjustRightInd w:val="0"/>
        <w:snapToGrid w:val="0"/>
        <w:spacing w:line="600" w:lineRule="exact"/>
        <w:ind w:left="0" w:firstLine="640" w:firstLineChars="200"/>
        <w:textAlignment w:val="auto"/>
        <w:rPr>
          <w:rFonts w:ascii="Times New Roman" w:hAnsi="Times New Roman" w:cs="Times New Roman"/>
          <w:color w:val="auto"/>
          <w:sz w:val="32"/>
          <w:szCs w:val="32"/>
        </w:rPr>
      </w:pPr>
      <w:r>
        <w:rPr>
          <w:rFonts w:ascii="Times New Roman" w:hAnsi="Times New Roman" w:cs="宋体"/>
          <w:color w:val="auto"/>
          <w:sz w:val="32"/>
          <w:szCs w:val="32"/>
        </w:rPr>
        <w:t xml:space="preserve"> </w:t>
      </w:r>
    </w:p>
    <w:p>
      <w:pPr>
        <w:keepNext w:val="0"/>
        <w:keepLines w:val="0"/>
        <w:pageBreakBefore w:val="0"/>
        <w:kinsoku/>
        <w:wordWrap/>
        <w:overflowPunct/>
        <w:topLinePunct w:val="0"/>
        <w:autoSpaceDE/>
        <w:autoSpaceDN/>
        <w:bidi w:val="0"/>
        <w:adjustRightInd w:val="0"/>
        <w:snapToGrid w:val="0"/>
        <w:spacing w:line="600" w:lineRule="exact"/>
        <w:ind w:left="0" w:firstLine="640" w:firstLineChars="200"/>
        <w:textAlignment w:val="auto"/>
        <w:rPr>
          <w:rFonts w:hint="eastAsia" w:ascii="Times New Roman" w:hAnsi="Times New Roman" w:eastAsia="黑体" w:cs="黑体"/>
          <w:b w:val="0"/>
          <w:bCs w:val="0"/>
          <w:color w:val="auto"/>
          <w:sz w:val="32"/>
          <w:szCs w:val="32"/>
        </w:rPr>
      </w:pPr>
      <w:r>
        <w:rPr>
          <w:rFonts w:hint="eastAsia" w:ascii="Times New Roman" w:hAnsi="Times New Roman" w:eastAsia="黑体" w:cs="黑体"/>
          <w:b w:val="0"/>
          <w:bCs w:val="0"/>
          <w:color w:val="auto"/>
          <w:sz w:val="32"/>
          <w:szCs w:val="32"/>
        </w:rPr>
        <w:t>一、部门主要职能</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负责旅游规划的制定和实施监督，旅游资源开发的指导与协调，旅游市场宣传工作促销，旅游行业管理，旅游质量监督与管理，旅游计划、统计，旅游投诉受理等</w:t>
      </w:r>
    </w:p>
    <w:p>
      <w:pPr>
        <w:keepNext w:val="0"/>
        <w:keepLines w:val="0"/>
        <w:pageBreakBefore w:val="0"/>
        <w:kinsoku/>
        <w:wordWrap/>
        <w:overflowPunct/>
        <w:topLinePunct w:val="0"/>
        <w:autoSpaceDE/>
        <w:autoSpaceDN/>
        <w:bidi w:val="0"/>
        <w:adjustRightInd w:val="0"/>
        <w:snapToGrid w:val="0"/>
        <w:spacing w:line="600" w:lineRule="exact"/>
        <w:ind w:left="0" w:firstLine="640" w:firstLineChars="200"/>
        <w:textAlignment w:val="auto"/>
        <w:rPr>
          <w:rFonts w:hint="eastAsia" w:ascii="Times New Roman" w:hAnsi="Times New Roman" w:eastAsia="黑体" w:cs="黑体"/>
          <w:b w:val="0"/>
          <w:bCs w:val="0"/>
          <w:color w:val="auto"/>
          <w:sz w:val="32"/>
          <w:szCs w:val="32"/>
        </w:rPr>
      </w:pPr>
      <w:r>
        <w:rPr>
          <w:rFonts w:hint="eastAsia" w:ascii="Times New Roman" w:hAnsi="Times New Roman" w:eastAsia="黑体" w:cs="黑体"/>
          <w:b w:val="0"/>
          <w:bCs w:val="0"/>
          <w:color w:val="auto"/>
          <w:sz w:val="32"/>
          <w:szCs w:val="32"/>
        </w:rPr>
        <w:t>二、部门基本情况</w:t>
      </w:r>
    </w:p>
    <w:p>
      <w:pPr>
        <w:keepNext w:val="0"/>
        <w:keepLines w:val="0"/>
        <w:pageBreakBefore w:val="0"/>
        <w:widowControl/>
        <w:kinsoku/>
        <w:wordWrap/>
        <w:overflowPunct/>
        <w:topLinePunct w:val="0"/>
        <w:autoSpaceDE/>
        <w:autoSpaceDN/>
        <w:bidi w:val="0"/>
        <w:adjustRightInd w:val="0"/>
        <w:snapToGrid w:val="0"/>
        <w:spacing w:line="600" w:lineRule="exact"/>
        <w:ind w:left="0"/>
        <w:jc w:val="left"/>
        <w:textAlignment w:val="auto"/>
        <w:rPr>
          <w:rFonts w:hint="eastAsia" w:ascii="Times New Roman" w:hAnsi="Times New Roman" w:eastAsia="楷体_GB2312" w:cs="楷体_GB2312"/>
          <w:color w:val="auto"/>
          <w:kern w:val="0"/>
          <w:sz w:val="32"/>
          <w:szCs w:val="32"/>
        </w:rPr>
      </w:pPr>
      <w:r>
        <w:rPr>
          <w:rFonts w:hint="eastAsia" w:ascii="Times New Roman" w:hAnsi="Times New Roman" w:eastAsia="楷体_GB2312" w:cs="楷体_GB2312"/>
          <w:color w:val="auto"/>
          <w:kern w:val="0"/>
          <w:sz w:val="32"/>
          <w:szCs w:val="32"/>
        </w:rPr>
        <w:t>（一）机构设置情况</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襄垣县旅游发展中心隶属于襄垣县文化和旅游局，财政拨款全额事业单位，正科级建制，核定编制数为8人，内设四个科室：办公室、旅游安全科、旅游发展和管理科、财务科。</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楷体_GB2312" w:cs="楷体_GB2312"/>
          <w:color w:val="auto"/>
          <w:sz w:val="32"/>
          <w:szCs w:val="32"/>
        </w:rPr>
      </w:pPr>
      <w:r>
        <w:rPr>
          <w:rFonts w:hint="eastAsia" w:ascii="Times New Roman" w:hAnsi="Times New Roman" w:eastAsia="楷体_GB2312" w:cs="楷体_GB2312"/>
          <w:color w:val="auto"/>
          <w:kern w:val="0"/>
          <w:sz w:val="32"/>
          <w:szCs w:val="32"/>
        </w:rPr>
        <w:t>（二）人员情况说明</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现有参公事业编制7名，其中参照公务员5人，行政工勤2人。</w:t>
      </w:r>
    </w:p>
    <w:p>
      <w:pPr>
        <w:keepNext w:val="0"/>
        <w:keepLines w:val="0"/>
        <w:pageBreakBefore w:val="0"/>
        <w:kinsoku/>
        <w:wordWrap/>
        <w:overflowPunct/>
        <w:topLinePunct w:val="0"/>
        <w:autoSpaceDE/>
        <w:autoSpaceDN/>
        <w:bidi w:val="0"/>
        <w:adjustRightInd w:val="0"/>
        <w:snapToGrid w:val="0"/>
        <w:spacing w:line="600" w:lineRule="exact"/>
        <w:ind w:left="0" w:firstLine="640" w:firstLineChars="200"/>
        <w:textAlignment w:val="auto"/>
        <w:rPr>
          <w:rFonts w:hint="eastAsia" w:ascii="Times New Roman" w:hAnsi="Times New Roman" w:eastAsia="黑体" w:cs="黑体"/>
          <w:b w:val="0"/>
          <w:bCs w:val="0"/>
          <w:color w:val="auto"/>
          <w:sz w:val="32"/>
          <w:szCs w:val="32"/>
        </w:rPr>
      </w:pPr>
      <w:r>
        <w:rPr>
          <w:rFonts w:hint="eastAsia" w:ascii="Times New Roman" w:hAnsi="Times New Roman" w:eastAsia="黑体" w:cs="黑体"/>
          <w:b w:val="0"/>
          <w:bCs w:val="0"/>
          <w:color w:val="auto"/>
          <w:sz w:val="32"/>
          <w:szCs w:val="32"/>
        </w:rPr>
        <w:t>三、预算收支增减变化情况说明</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本部门2020年度收入、支出预算总计94.86万元，与上年相比收、支预算总计增加7.43万元，增长8.5%，主要原因是项目增加。</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其中：</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收入预算总计94.86万元。包括：</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财政拨款收入预算总计94.86万元。</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一般公共预算收入预算94.86万元，与上年相比增加7.43万元，增长8.5%，主要原因是活动增加。</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政府性基金收入预算0万元，与上年相比增加0万元，增长0%。</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财政专户管理资金收入预算总计0万元。与上年相比增加0万元，增长0%。</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其他资金收入预算总计0万元，与上年相比增加0万元，增长0%。</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上年结转资金预算数为0万元。与上年相比增加0万元，增长0%。</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支出预算总计94.86万元。包括：</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一般公共服务支出94.86万元，主要用于工资统发和公用经费。与上年相比增加7.43，增长8.5%。主要原因是活动增加。</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公共安全支出0万元。与上年相比增加0万元，增长0%。</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结转下年资金预算数为0万元。此外，基本支出预算数为94.86万元。与上年相比增加7.43万元，减少8.5%。主要原因是活动增加。</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项目支出预算数为0万元。与上年相比减少0万元，减少0%。</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单位预留机动经费预算数为0万元。与上年相比增加0万元，增长0%。</w:t>
      </w:r>
    </w:p>
    <w:p>
      <w:pPr>
        <w:keepNext w:val="0"/>
        <w:keepLines w:val="0"/>
        <w:pageBreakBefore w:val="0"/>
        <w:kinsoku/>
        <w:wordWrap/>
        <w:overflowPunct/>
        <w:topLinePunct w:val="0"/>
        <w:autoSpaceDE/>
        <w:autoSpaceDN/>
        <w:bidi w:val="0"/>
        <w:adjustRightInd w:val="0"/>
        <w:snapToGrid w:val="0"/>
        <w:spacing w:line="600" w:lineRule="exact"/>
        <w:ind w:left="0" w:firstLine="640" w:firstLineChars="200"/>
        <w:textAlignment w:val="auto"/>
        <w:rPr>
          <w:rFonts w:hint="eastAsia" w:ascii="Times New Roman" w:hAnsi="Times New Roman" w:eastAsia="黑体" w:cs="黑体"/>
          <w:color w:val="auto"/>
          <w:sz w:val="32"/>
          <w:szCs w:val="32"/>
        </w:rPr>
      </w:pPr>
      <w:r>
        <w:rPr>
          <w:rFonts w:hint="eastAsia" w:ascii="Times New Roman" w:hAnsi="Times New Roman" w:eastAsia="黑体" w:cs="黑体"/>
          <w:color w:val="auto"/>
          <w:sz w:val="32"/>
          <w:szCs w:val="32"/>
        </w:rPr>
        <w:t>四、机关运行经经费安排情况说明</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本单位机关运行经费支出预算数为4万元，较2019年减少1万元。其中：办公费支出0.97万元、邮电费支出0.1万元、劳务费1.92万元、工会会费0.81万元等。主要增减变化情况经费减少。</w:t>
      </w:r>
    </w:p>
    <w:p>
      <w:pPr>
        <w:keepNext w:val="0"/>
        <w:keepLines w:val="0"/>
        <w:pageBreakBefore w:val="0"/>
        <w:kinsoku/>
        <w:wordWrap/>
        <w:overflowPunct/>
        <w:topLinePunct w:val="0"/>
        <w:autoSpaceDE/>
        <w:autoSpaceDN/>
        <w:bidi w:val="0"/>
        <w:adjustRightInd w:val="0"/>
        <w:snapToGrid w:val="0"/>
        <w:spacing w:line="600" w:lineRule="exact"/>
        <w:ind w:left="0" w:firstLine="640" w:firstLineChars="200"/>
        <w:textAlignment w:val="auto"/>
        <w:rPr>
          <w:rFonts w:hint="eastAsia" w:ascii="Times New Roman" w:hAnsi="Times New Roman" w:eastAsia="黑体" w:cs="黑体"/>
          <w:color w:val="auto"/>
          <w:sz w:val="32"/>
          <w:szCs w:val="32"/>
        </w:rPr>
      </w:pPr>
      <w:r>
        <w:rPr>
          <w:rFonts w:hint="eastAsia" w:ascii="Times New Roman" w:hAnsi="Times New Roman" w:eastAsia="黑体" w:cs="黑体"/>
          <w:color w:val="auto"/>
          <w:sz w:val="32"/>
          <w:szCs w:val="32"/>
        </w:rPr>
        <w:t>五、政府采购安排情况说明</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本部门2020年政府采购安排0万元，其中：政府采购货物支出0万元、政府采购工程支出0万元、政府采购服务支出0万元。授予中小企业合同金额0万元，占政府采购支出总额的0%。</w:t>
      </w:r>
    </w:p>
    <w:p>
      <w:pPr>
        <w:keepNext w:val="0"/>
        <w:keepLines w:val="0"/>
        <w:pageBreakBefore w:val="0"/>
        <w:kinsoku/>
        <w:wordWrap/>
        <w:overflowPunct/>
        <w:topLinePunct w:val="0"/>
        <w:autoSpaceDE/>
        <w:autoSpaceDN/>
        <w:bidi w:val="0"/>
        <w:adjustRightInd w:val="0"/>
        <w:snapToGrid w:val="0"/>
        <w:spacing w:line="600" w:lineRule="exact"/>
        <w:ind w:left="0" w:firstLine="640" w:firstLineChars="200"/>
        <w:textAlignment w:val="auto"/>
        <w:rPr>
          <w:rFonts w:hint="eastAsia" w:ascii="Times New Roman" w:hAnsi="Times New Roman" w:eastAsia="黑体" w:cs="黑体"/>
          <w:color w:val="auto"/>
          <w:sz w:val="32"/>
          <w:szCs w:val="32"/>
        </w:rPr>
      </w:pPr>
      <w:r>
        <w:rPr>
          <w:rFonts w:hint="eastAsia" w:ascii="Times New Roman" w:hAnsi="Times New Roman" w:eastAsia="黑体" w:cs="黑体"/>
          <w:color w:val="auto"/>
          <w:sz w:val="32"/>
          <w:szCs w:val="32"/>
        </w:rPr>
        <w:t>六、对专业性较强的名词进行解释</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（一）财政拨款收入：指单位本年度从本级财政部门取得的财政拨款，包括一般公共预算财政拨款和政府性基金预算财政拨款。</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（二）上级补助收入：指事业单位从主管部门和上级单位取得的非财政补助收入。</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 xml:space="preserve">（三）事业收入：指事业单位开展专业业务活动及其辅助活动取得的收入；事业单位收到的财政专户实际核拨的教育收费等资金在此反映。 </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（四）经营收入：指事业单位在专业业务活动及其辅助活动之外开展非独立核算经营活动取得的收入。</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（五）附属单位缴款：指事业单位附属独立核算单位按照有关规定上缴的收入。</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 xml:space="preserve">（六）其他收入：指单位取得的除上述“财政拨款收入”、“事业收入”、“经营收入”、“附属单位缴款”等以外的各项收入。 </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 xml:space="preserve">（七）用事业基金弥补收支差额：指事业单位用事业基金弥补当年收支差额的数额。 </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 xml:space="preserve">（八）年初结转和结余：指单位上年结转本年使用的基本支出结转、项目支出结转和结余和经营结余。 </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 xml:space="preserve">（九）结余分配：指事业单位按规定对非财政补助结余资金提取的职工福利基金、事业基金和缴纳的所得税，以及减少单位按规定应缴回的基本建设竣工项目结余资金。 </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（十）年末结转和结余资金：指单位结转下年的基本支出结转、项目支出结转和结余和经营结余。</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 xml:space="preserve">（十一）基本支出：指为保障机构正常运转、完成日常工作任务而发生的人员支出和公用支出。 </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 xml:space="preserve">（十二）项目支出：指在基本支出之外为完成特定的行政任务或事业发展目标所发生的支出。 </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（十三）上缴上级支出：指事业单位按照财政部门和主管部门的规定上缴上级单位的支出。</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（十四）经营支出：指事业单位在专业业务活动及其辅助活动之外开展非独立核算经营活动发生的支出。</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（十五）对附属单位补助支出：指事业单位用财政补助收入之外的收入对附属单位补助发生的支出。</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黑体" w:cs="黑体"/>
          <w:color w:val="auto"/>
          <w:sz w:val="32"/>
          <w:szCs w:val="32"/>
        </w:rPr>
      </w:pPr>
      <w:r>
        <w:rPr>
          <w:rFonts w:hint="eastAsia" w:ascii="Times New Roman" w:hAnsi="Times New Roman" w:eastAsia="黑体" w:cs="黑体"/>
          <w:color w:val="auto"/>
          <w:sz w:val="32"/>
          <w:szCs w:val="32"/>
        </w:rPr>
        <w:t>七、国有资产占用情况说明</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ascii="Times New Roman" w:hAnsi="Times New Roman" w:eastAsia="仿宋" w:cs="Times New Roman"/>
          <w:color w:val="auto"/>
          <w:sz w:val="32"/>
          <w:szCs w:val="32"/>
        </w:rPr>
      </w:pPr>
      <w:r>
        <w:rPr>
          <w:rFonts w:hint="eastAsia" w:ascii="Times New Roman" w:hAnsi="Times New Roman" w:eastAsia="仿宋_GB2312" w:cs="仿宋_GB2312"/>
          <w:color w:val="auto"/>
          <w:sz w:val="32"/>
          <w:szCs w:val="32"/>
        </w:rPr>
        <w:t>本单位共有车辆数合计0辆，单价50万元以上通用设备0万元，单价100万元以上专用设备0万元。</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黑体" w:cs="黑体"/>
          <w:color w:val="auto"/>
          <w:sz w:val="32"/>
          <w:szCs w:val="32"/>
        </w:rPr>
      </w:pPr>
      <w:r>
        <w:rPr>
          <w:rFonts w:hint="eastAsia" w:ascii="Times New Roman" w:hAnsi="Times New Roman" w:eastAsia="黑体" w:cs="黑体"/>
          <w:color w:val="auto"/>
          <w:sz w:val="32"/>
          <w:szCs w:val="32"/>
        </w:rPr>
        <w:t>八、重点项目预算的绩效目标等预算绩效情况说明</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无</w:t>
      </w:r>
    </w:p>
    <w:p>
      <w:pPr>
        <w:keepNext w:val="0"/>
        <w:keepLines w:val="0"/>
        <w:pageBreakBefore w:val="0"/>
        <w:kinsoku/>
        <w:wordWrap/>
        <w:overflowPunct/>
        <w:topLinePunct w:val="0"/>
        <w:autoSpaceDE/>
        <w:autoSpaceDN/>
        <w:bidi w:val="0"/>
        <w:adjustRightInd w:val="0"/>
        <w:snapToGrid w:val="0"/>
        <w:spacing w:line="600" w:lineRule="exact"/>
        <w:ind w:left="0" w:firstLine="640" w:firstLineChars="200"/>
        <w:textAlignment w:val="auto"/>
        <w:rPr>
          <w:rFonts w:ascii="Times New Roman" w:hAnsi="Times New Roman" w:eastAsia="仿宋" w:cs="Times New Roman"/>
          <w:color w:val="auto"/>
          <w:sz w:val="32"/>
          <w:szCs w:val="32"/>
        </w:rPr>
      </w:pPr>
      <w:r>
        <w:rPr>
          <w:rFonts w:hint="eastAsia" w:ascii="Times New Roman" w:hAnsi="Times New Roman" w:eastAsia="黑体" w:cs="黑体"/>
          <w:color w:val="auto"/>
          <w:sz w:val="32"/>
          <w:szCs w:val="32"/>
        </w:rPr>
        <w:t>九、一般公共预算“三公”经费支出增减变化原因等说明</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本部门2020年度一般公共预算“三公”经费预算数为0万元，较2019年减少 0万元，下降 0%，其中：</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一</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因公出国（境）支出年初预算数为0万元，因公出国（境）团组数为0，人数为0。较2019年增加（减少）0万元，增长（下降）0%。</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（二）公务接待费支出年初预算数为0万元，较2019年减少0万元，下降0%。主要原因是：专项活动减少。本年度国内公务接待共 0次，共0人。</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三）公务用车购置及运行维护费支出0万元，其中公务用车购置年初预算数为0万元，较2019年增加（减少）0万元，增长（下降）0%；公务用车运行维护费支出年初预算数为0万元，较2019年增加（减少）0万元，增长（下降）0%。本年度公务用车购置数0辆，公务用车保有量0辆。</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黑体" w:cs="黑体"/>
          <w:color w:val="auto"/>
          <w:sz w:val="32"/>
          <w:szCs w:val="32"/>
        </w:rPr>
      </w:pPr>
      <w:r>
        <w:rPr>
          <w:rFonts w:hint="eastAsia" w:ascii="Times New Roman" w:hAnsi="Times New Roman" w:eastAsia="黑体" w:cs="黑体"/>
          <w:color w:val="auto"/>
          <w:sz w:val="32"/>
          <w:szCs w:val="32"/>
        </w:rPr>
        <w:t>十、政府性基金预算支出预算情况说明</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本单位政府性基金预算支出预算无此项预算，故无此项说明。</w:t>
      </w:r>
    </w:p>
    <w:p>
      <w:pPr>
        <w:keepNext w:val="0"/>
        <w:keepLines w:val="0"/>
        <w:pageBreakBefore w:val="0"/>
        <w:kinsoku/>
        <w:wordWrap/>
        <w:overflowPunct/>
        <w:topLinePunct w:val="0"/>
        <w:autoSpaceDE/>
        <w:autoSpaceDN/>
        <w:bidi w:val="0"/>
        <w:adjustRightInd w:val="0"/>
        <w:snapToGrid w:val="0"/>
        <w:spacing w:line="60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旅游发展中心政府性基金支出预算无此项预算，故无此项说明。</w:t>
      </w:r>
    </w:p>
    <w:p>
      <w:pPr>
        <w:keepNext w:val="0"/>
        <w:keepLines w:val="0"/>
        <w:pageBreakBefore w:val="0"/>
        <w:kinsoku/>
        <w:wordWrap/>
        <w:overflowPunct/>
        <w:topLinePunct w:val="0"/>
        <w:autoSpaceDE/>
        <w:autoSpaceDN/>
        <w:bidi w:val="0"/>
        <w:adjustRightInd w:val="0"/>
        <w:snapToGrid w:val="0"/>
        <w:spacing w:line="600" w:lineRule="exact"/>
        <w:ind w:left="0" w:firstLine="645"/>
        <w:textAlignment w:val="auto"/>
        <w:rPr>
          <w:rFonts w:hint="eastAsia" w:ascii="Times New Roman" w:hAnsi="Times New Roman" w:eastAsia="仿宋_GB2312" w:cs="仿宋_GB2312"/>
          <w:color w:val="auto"/>
          <w:sz w:val="32"/>
          <w:szCs w:val="32"/>
        </w:rPr>
      </w:pPr>
    </w:p>
    <w:bookmarkEnd w:id="0"/>
    <w:p>
      <w:pPr>
        <w:ind w:firstLine="645"/>
        <w:rPr>
          <w:rFonts w:ascii="仿宋" w:hAnsi="仿宋" w:eastAsia="仿宋" w:cs="Times New Roman"/>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舒体">
    <w:panose1 w:val="02010601030101010101"/>
    <w:charset w:val="86"/>
    <w:family w:val="auto"/>
    <w:pitch w:val="default"/>
    <w:sig w:usb0="00000003" w:usb1="080E0000" w:usb2="00000000" w:usb3="00000000" w:csb0="00040000" w:csb1="00000000"/>
  </w:font>
  <w:font w:name="Tempus Sans ITC">
    <w:panose1 w:val="04020404030D07020202"/>
    <w:charset w:val="00"/>
    <w:family w:val="auto"/>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E87EB6"/>
    <w:rsid w:val="0001019D"/>
    <w:rsid w:val="000105B2"/>
    <w:rsid w:val="0004303F"/>
    <w:rsid w:val="0011026C"/>
    <w:rsid w:val="00121209"/>
    <w:rsid w:val="001330DE"/>
    <w:rsid w:val="00154C05"/>
    <w:rsid w:val="00196D34"/>
    <w:rsid w:val="001B7AF2"/>
    <w:rsid w:val="001C0185"/>
    <w:rsid w:val="00211283"/>
    <w:rsid w:val="00212AF7"/>
    <w:rsid w:val="002A78F3"/>
    <w:rsid w:val="002B74C9"/>
    <w:rsid w:val="002E48C4"/>
    <w:rsid w:val="003343CB"/>
    <w:rsid w:val="00356142"/>
    <w:rsid w:val="00465431"/>
    <w:rsid w:val="00481790"/>
    <w:rsid w:val="005A796A"/>
    <w:rsid w:val="005F2480"/>
    <w:rsid w:val="00607718"/>
    <w:rsid w:val="00643BE9"/>
    <w:rsid w:val="00696E76"/>
    <w:rsid w:val="00707C59"/>
    <w:rsid w:val="00751A1A"/>
    <w:rsid w:val="00760ADC"/>
    <w:rsid w:val="007634B0"/>
    <w:rsid w:val="007A5EB2"/>
    <w:rsid w:val="00812DC9"/>
    <w:rsid w:val="00835152"/>
    <w:rsid w:val="008524E1"/>
    <w:rsid w:val="00880BB6"/>
    <w:rsid w:val="008934C9"/>
    <w:rsid w:val="008A3F99"/>
    <w:rsid w:val="008C542A"/>
    <w:rsid w:val="008D5CA9"/>
    <w:rsid w:val="009436C0"/>
    <w:rsid w:val="009B442F"/>
    <w:rsid w:val="009B6471"/>
    <w:rsid w:val="00A44E14"/>
    <w:rsid w:val="00A61D97"/>
    <w:rsid w:val="00B45242"/>
    <w:rsid w:val="00B83E31"/>
    <w:rsid w:val="00B84099"/>
    <w:rsid w:val="00BD7E57"/>
    <w:rsid w:val="00C91007"/>
    <w:rsid w:val="00CC30DB"/>
    <w:rsid w:val="00CF14FA"/>
    <w:rsid w:val="00D25442"/>
    <w:rsid w:val="00D539BC"/>
    <w:rsid w:val="00D9581B"/>
    <w:rsid w:val="00DE7196"/>
    <w:rsid w:val="00DF132C"/>
    <w:rsid w:val="00E74F60"/>
    <w:rsid w:val="00E76C53"/>
    <w:rsid w:val="00FD358C"/>
    <w:rsid w:val="0104299A"/>
    <w:rsid w:val="014A06B6"/>
    <w:rsid w:val="01742A72"/>
    <w:rsid w:val="01DA336E"/>
    <w:rsid w:val="05E42E29"/>
    <w:rsid w:val="061E09E3"/>
    <w:rsid w:val="06A43BA7"/>
    <w:rsid w:val="087A6196"/>
    <w:rsid w:val="0C5A5250"/>
    <w:rsid w:val="0C64513E"/>
    <w:rsid w:val="0D90048D"/>
    <w:rsid w:val="0DE649EC"/>
    <w:rsid w:val="0EE25EB1"/>
    <w:rsid w:val="0FE14009"/>
    <w:rsid w:val="10CB3E8D"/>
    <w:rsid w:val="11F35FF2"/>
    <w:rsid w:val="179A58B8"/>
    <w:rsid w:val="1B4A6025"/>
    <w:rsid w:val="1DF453AF"/>
    <w:rsid w:val="1E107510"/>
    <w:rsid w:val="1E643EFE"/>
    <w:rsid w:val="209E0EC3"/>
    <w:rsid w:val="22140CC1"/>
    <w:rsid w:val="24D63713"/>
    <w:rsid w:val="2A937DAC"/>
    <w:rsid w:val="2DB60033"/>
    <w:rsid w:val="2F754CA8"/>
    <w:rsid w:val="2FB928F6"/>
    <w:rsid w:val="313D0FE0"/>
    <w:rsid w:val="341824CB"/>
    <w:rsid w:val="343F3937"/>
    <w:rsid w:val="34D53928"/>
    <w:rsid w:val="36805BAD"/>
    <w:rsid w:val="37015ED3"/>
    <w:rsid w:val="37F03C58"/>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60860A87"/>
    <w:rsid w:val="60B46440"/>
    <w:rsid w:val="61C6166E"/>
    <w:rsid w:val="635C762A"/>
    <w:rsid w:val="6A0213FA"/>
    <w:rsid w:val="6FD93AE0"/>
    <w:rsid w:val="70803134"/>
    <w:rsid w:val="71FC58C7"/>
    <w:rsid w:val="7249546B"/>
    <w:rsid w:val="729F0AAD"/>
    <w:rsid w:val="7C7014A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9"/>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spacing w:before="100" w:beforeAutospacing="1" w:after="100" w:afterAutospacing="1"/>
      <w:jc w:val="left"/>
    </w:pPr>
    <w:rPr>
      <w:kern w:val="0"/>
      <w:sz w:val="24"/>
      <w:szCs w:val="24"/>
    </w:rPr>
  </w:style>
  <w:style w:type="character" w:styleId="7">
    <w:name w:val="Strong"/>
    <w:basedOn w:val="6"/>
    <w:qFormat/>
    <w:uiPriority w:val="99"/>
    <w:rPr>
      <w:b/>
      <w:bCs/>
    </w:rPr>
  </w:style>
  <w:style w:type="character" w:customStyle="1" w:styleId="8">
    <w:name w:val="Footer Char"/>
    <w:basedOn w:val="6"/>
    <w:link w:val="2"/>
    <w:locked/>
    <w:uiPriority w:val="99"/>
    <w:rPr>
      <w:rFonts w:ascii="Calibri" w:hAnsi="Calibri" w:eastAsia="宋体" w:cs="Calibri"/>
      <w:kern w:val="2"/>
      <w:sz w:val="18"/>
      <w:szCs w:val="18"/>
    </w:rPr>
  </w:style>
  <w:style w:type="character" w:customStyle="1" w:styleId="9">
    <w:name w:val="Header Char"/>
    <w:basedOn w:val="6"/>
    <w:link w:val="3"/>
    <w:locked/>
    <w:uiPriority w:val="99"/>
    <w:rPr>
      <w:rFonts w:ascii="Calibri" w:hAnsi="Calibri" w:eastAsia="宋体" w:cs="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China</Company>
  <Pages>6</Pages>
  <Words>382</Words>
  <Characters>2181</Characters>
  <Lines>0</Lines>
  <Paragraphs>0</Paragraphs>
  <TotalTime>152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cp:lastModifiedBy>
  <cp:lastPrinted>2019-09-11T06:01:00Z</cp:lastPrinted>
  <dcterms:modified xsi:type="dcterms:W3CDTF">2021-06-03T01:11:01Z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F8AC168E0CDC4D6BBB411B7F957A1AF8</vt:lpwstr>
  </property>
</Properties>
</file>