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default" w:ascii="Arial" w:hAnsi="Arial" w:eastAsia="黑体" w:cs="Arial"/>
          <w:sz w:val="44"/>
          <w:szCs w:val="44"/>
          <w:lang w:eastAsia="zh-CN"/>
        </w:rPr>
        <w:t>××</w:t>
      </w:r>
      <w:r>
        <w:rPr>
          <w:rFonts w:hint="eastAsia" w:ascii="黑体" w:hAnsi="黑体" w:eastAsia="黑体" w:cstheme="minorEastAsia"/>
          <w:sz w:val="44"/>
          <w:szCs w:val="44"/>
        </w:rPr>
        <w:t>部门</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(一)、执行本级人民代表大会的决议和上级国家行政机关的决定和命令，发布决定和命令；</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（二）、执行本行政区域内的经济和社会发展计划、预算、管理本行政区域内的经济、教育、科学、文化、卫生、体育事业和财政、民政、公安、司法行政、计划生育等行政工作；</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（三）、保护社会主义的全民所有的财产和劳动群众集体所有的财产，保障公民的人身权利、民主权利和其他权利；</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（四）、保护各种经济组织的合法权益；</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（五）、办理上级人民政府交办的其他事项。</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1、下良镇内设机构（24个）：人大、政协、党政办公室、纪检监察室、综治办、人武部、计生办、司法所、城建办、工会、团委、妇联、统计站、农科站、农经站、水利站、林管站、农机站、文化站、社保所、安监站、公路养护站、民政办、城建办、环卫办等。</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2、派驻乡镇站所（14个）：财政所、派出所、国土所、劳动所、卫生院、法庭、下良中学、中心校、市质所、畜牧站、信用社、供电所、邮局、联通等。</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3、派驻乡镇机构情况及运行情况：财政所：负责财政管理，惠农资金发放等相关工作，工作人员6人；派出所:负责维护社会治安，打击犯罪等相关工作，工作人员9人；国土所:负责土地的审批及使用等相关工作，工作人员2个；劳动所:负责企业用工、检查规范、农村劳动力就业提供服务、养老保险、医疗保险等相关工作，工作人员10人；卫生院:负责医疗和公共卫生工作等相关工作，工作人员14人；法庭:负责案件审理等工作，工作人员2人；中学:负责教书育人，工作人员13人；中心校:下良全镇范围内的学前教育、义务教育、成人教育、继续教育等方面的教育教学工作；市质所:负责质检、食药、工商等相关业务检查工作，工作人员7人；畜牧站:负责防疫、检疫畜产品安全等工作，工作人员共6人；信用社:负责金融服务、存款、贷款等业务，工作人员共16人；供电所:负责下良、西营辖区内的供电服务，供电设备维护等工作，工作人员共12人；邮局:负责下良范围内的邮政营销、营业、投递等，工作人员共2人；联通:负责宽带连接、手机卡等业务，工作人员共2人。</w:t>
      </w:r>
    </w:p>
    <w:p>
      <w:pPr>
        <w:widowControl/>
        <w:spacing w:line="324" w:lineRule="atLeast"/>
        <w:ind w:left="540"/>
        <w:jc w:val="left"/>
        <w:rPr>
          <w:rFonts w:hint="eastAsia" w:ascii="仿宋_GB2312" w:hAnsi="楷体" w:eastAsia="仿宋_GB2312" w:cs="宋体"/>
          <w:b w:val="0"/>
          <w:bCs/>
          <w:color w:val="333333"/>
          <w:kern w:val="0"/>
          <w:sz w:val="32"/>
          <w:szCs w:val="32"/>
          <w:lang w:val="en-US" w:eastAsia="zh-CN"/>
        </w:rPr>
      </w:pPr>
      <w:r>
        <w:rPr>
          <w:rFonts w:hint="eastAsia" w:ascii="仿宋_GB2312" w:hAnsi="楷体" w:eastAsia="仿宋_GB2312" w:cs="宋体"/>
          <w:b w:val="0"/>
          <w:bCs/>
          <w:color w:val="333333"/>
          <w:kern w:val="0"/>
          <w:sz w:val="32"/>
          <w:szCs w:val="32"/>
          <w:lang w:val="en-US" w:eastAsia="zh-CN"/>
        </w:rPr>
        <w:t>（二）人员情况说明</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班子队伍状况：下良镇共有党政班子成员15人，含3名主任科员、1名副主任科员、1名正科级干部。科级干部15人，正科3人，正科虚职4人，副科8人。</w:t>
      </w:r>
    </w:p>
    <w:p>
      <w:pPr>
        <w:ind w:firstLine="640" w:firstLineChars="200"/>
        <w:rPr>
          <w:rFonts w:hint="eastAsia" w:ascii="仿宋_GB2312" w:hAnsi="仿宋" w:eastAsia="仿宋_GB2312" w:cs="仿宋"/>
          <w:color w:val="auto"/>
          <w:sz w:val="32"/>
          <w:szCs w:val="32"/>
          <w:lang w:val="en-US" w:eastAsia="zh-CN"/>
        </w:rPr>
      </w:pPr>
      <w:r>
        <w:rPr>
          <w:rFonts w:hint="eastAsia" w:ascii="仿宋_GB2312" w:hAnsi="仿宋" w:eastAsia="仿宋_GB2312" w:cs="仿宋"/>
          <w:color w:val="auto"/>
          <w:sz w:val="32"/>
          <w:szCs w:val="32"/>
          <w:lang w:val="en-US" w:eastAsia="zh-CN"/>
        </w:rPr>
        <w:t>农村两委干部队伍状况：支村两委干部共207人，交叉任职23人，支村两委主干57人，其中一肩挑8人，两委主干平均年龄50</w:t>
      </w:r>
      <w:bookmarkStart w:id="0" w:name="_GoBack"/>
      <w:bookmarkEnd w:id="0"/>
      <w:r>
        <w:rPr>
          <w:rFonts w:hint="eastAsia" w:ascii="仿宋_GB2312" w:hAnsi="仿宋" w:eastAsia="仿宋_GB2312" w:cs="仿宋"/>
          <w:color w:val="auto"/>
          <w:sz w:val="32"/>
          <w:szCs w:val="32"/>
          <w:lang w:val="en-US" w:eastAsia="zh-CN"/>
        </w:rPr>
        <w:t>岁。</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襄垣县下良镇人民政府2020年度收入、支出预算总计  2630.74万元，与上年相比收、支预算总计各增加1985.22万元，增长307.52%。主要原因是增加项目支出。其中：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（一）收入预算总计2630.74万元。包括：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1．财政拨款收入预算总计2630.74万元。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（1）一般公共预算收入预算2630.74万元，与上年相比增加1985.22万元，增长307.52%。主要原因是增加项目支出。</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（2）政府性基金收入预算0万元，与上年相比无变化。</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（二）支出预算总计2630.74万元。包括：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1．一般公共服务（类）支出541.77万元，主要用于人员支出。与上年相比增加99.11万元，增长22.39%。主要原因是人员支出增加。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2．社会保障和就业支出74.08万元，主要用于人员支出。与上年相比增加31.53万元，增长74.1%。主要原因是人员支出增加。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3．医疗卫生与计划生育支出27.44万元，主要用于人员支出。与上年相比增加14.59万元，增长113.54%。主要原因是人员支出增加。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4．住房保障支出37.88万元，主要用于人员支出。与上年相比增加17.78万元，增长88.46%。主要原因是人员支出增加。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5．城乡社区支出1529.1万元，主要用于项目支出。与上年相比增加1479.1万元，增长2958%。主要原因是项目支出增加。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6．节能环保支出151.8万元，主要用于项目支出。与上年相比增加151.8万元，增长100%。主要原因是项目支出增加。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7．农林水支出268.66万元，主要用于项目支出。与上年相比增加194.5万元，增长262.27%。主要原因是项目支出增加。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此外，基本支出预算数为597.54万元。与上年相比增加205.47万元，增长52.41%。主要原因是人员支出增加。</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项目支出预算数为2033.2万元。与上年相比增加1779.75万元，增长702.21%。主要原因是项目支出增加。</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四、机关运行经费安排情况说明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100万元，较2019年减少20万元，其中：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45万元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委托业务费支出</w:t>
      </w:r>
      <w:r>
        <w:rPr>
          <w:rFonts w:hint="eastAsia" w:ascii="仿宋_GB2312" w:eastAsia="仿宋_GB2312" w:hAnsiTheme="minorEastAsia" w:cstheme="minorEastAsia"/>
          <w:color w:val="auto"/>
          <w:sz w:val="32"/>
          <w:szCs w:val="32"/>
          <w:lang w:val="en-US" w:eastAsia="zh-CN"/>
        </w:rPr>
        <w:t>45万元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公务用车运行维护支出</w:t>
      </w:r>
      <w:r>
        <w:rPr>
          <w:rFonts w:hint="eastAsia" w:ascii="仿宋_GB2312" w:eastAsia="仿宋_GB2312" w:hAnsiTheme="minorEastAsia" w:cstheme="minorEastAsia"/>
          <w:color w:val="auto"/>
          <w:sz w:val="32"/>
          <w:szCs w:val="32"/>
          <w:lang w:val="en-US" w:eastAsia="zh-CN"/>
        </w:rPr>
        <w:t>6万元，其他商品和服务支出4万元</w:t>
      </w:r>
      <w:r>
        <w:rPr>
          <w:rFonts w:hint="eastAsia" w:ascii="仿宋_GB2312" w:eastAsia="仿宋_GB2312" w:hAnsiTheme="minorEastAsia" w:cstheme="minorEastAsia"/>
          <w:color w:val="auto"/>
          <w:sz w:val="32"/>
          <w:szCs w:val="32"/>
        </w:rPr>
        <w:t>。</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五、政府采购安排情况说明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3" w:firstLineChars="200"/>
        <w:rPr>
          <w:rFonts w:hint="eastAsia" w:ascii="楷体" w:hAnsi="楷体" w:eastAsia="楷体" w:cstheme="minorEastAsia"/>
          <w:b/>
          <w:bCs w:val="0"/>
          <w:sz w:val="32"/>
          <w:szCs w:val="32"/>
          <w:lang w:eastAsia="zh-CN"/>
        </w:rPr>
      </w:pPr>
      <w:r>
        <w:rPr>
          <w:rFonts w:hint="eastAsia" w:ascii="楷体" w:hAnsi="楷体" w:eastAsia="楷体" w:cstheme="minorEastAsia"/>
          <w:b/>
          <w:bCs w:val="0"/>
          <w:sz w:val="32"/>
          <w:szCs w:val="32"/>
          <w:lang w:eastAsia="zh-CN"/>
        </w:rPr>
        <w:t>六、对专业性较强的名词进行解释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3" w:firstLineChars="200"/>
        <w:rPr>
          <w:rFonts w:hint="eastAsia" w:ascii="楷体" w:hAnsi="楷体" w:eastAsia="楷体" w:cstheme="minorEastAsia"/>
          <w:b/>
          <w:bCs w:val="0"/>
          <w:sz w:val="32"/>
          <w:szCs w:val="32"/>
          <w:lang w:val="en-US" w:eastAsia="zh-CN"/>
        </w:rPr>
      </w:pPr>
      <w:r>
        <w:rPr>
          <w:rFonts w:hint="eastAsia" w:ascii="楷体" w:hAnsi="楷体" w:eastAsia="楷体" w:cstheme="minorEastAsia"/>
          <w:b/>
          <w:bCs w:val="0"/>
          <w:sz w:val="32"/>
          <w:szCs w:val="32"/>
          <w:lang w:eastAsia="zh-CN"/>
        </w:rPr>
        <w:t>七、国有</w:t>
      </w:r>
      <w:r>
        <w:rPr>
          <w:rFonts w:hint="eastAsia" w:ascii="楷体" w:hAnsi="楷体" w:eastAsia="楷体" w:cstheme="minorEastAsia"/>
          <w:b/>
          <w:bCs w:val="0"/>
          <w:sz w:val="32"/>
          <w:szCs w:val="32"/>
          <w:lang w:val="en-US" w:eastAsia="zh-CN"/>
        </w:rPr>
        <w:t>资产占用情况说明</w:t>
      </w:r>
    </w:p>
    <w:p>
      <w:pPr>
        <w:ind w:firstLine="600" w:firstLineChars="200"/>
        <w:rPr>
          <w:rFonts w:hint="eastAsia" w:ascii="楷体" w:hAnsi="楷体" w:eastAsia="楷体" w:cstheme="minorEastAsia"/>
          <w:b w:val="0"/>
          <w:bCs/>
          <w:color w:val="auto"/>
          <w:sz w:val="32"/>
          <w:szCs w:val="32"/>
          <w:lang w:val="en-US" w:eastAsia="zh-CN"/>
        </w:rPr>
      </w:pPr>
      <w:r>
        <w:rPr>
          <w:rFonts w:hint="eastAsia" w:ascii="仿宋_GB2312" w:hAnsi="仿宋_GB2312" w:eastAsia="仿宋_GB2312" w:cs="仿宋_GB2312"/>
          <w:sz w:val="30"/>
          <w:szCs w:val="30"/>
        </w:rPr>
        <w:t>截止20</w:t>
      </w:r>
      <w:r>
        <w:rPr>
          <w:rFonts w:hint="eastAsia" w:ascii="仿宋_GB2312" w:hAnsi="仿宋_GB2312" w:eastAsia="仿宋_GB2312" w:cs="仿宋_GB2312"/>
          <w:sz w:val="30"/>
          <w:szCs w:val="30"/>
          <w:lang w:val="en-US" w:eastAsia="zh-CN"/>
        </w:rPr>
        <w:t>19</w:t>
      </w:r>
      <w:r>
        <w:rPr>
          <w:rFonts w:hint="eastAsia" w:ascii="仿宋_GB2312" w:hAnsi="仿宋_GB2312" w:eastAsia="仿宋_GB2312" w:cs="仿宋_GB2312"/>
          <w:sz w:val="30"/>
          <w:szCs w:val="30"/>
        </w:rPr>
        <w:t>年12月31日，本单位资产总额</w:t>
      </w:r>
      <w:r>
        <w:rPr>
          <w:rFonts w:hint="eastAsia" w:ascii="仿宋_GB2312" w:hAnsi="仿宋_GB2312" w:eastAsia="仿宋_GB2312" w:cs="仿宋_GB2312"/>
          <w:sz w:val="30"/>
          <w:szCs w:val="30"/>
          <w:lang w:val="en-US" w:eastAsia="zh-CN"/>
        </w:rPr>
        <w:t>14161.52</w:t>
      </w:r>
      <w:r>
        <w:rPr>
          <w:rFonts w:hint="eastAsia" w:ascii="仿宋_GB2312" w:hAnsi="仿宋_GB2312" w:eastAsia="仿宋_GB2312" w:cs="仿宋_GB2312"/>
          <w:sz w:val="30"/>
          <w:szCs w:val="30"/>
        </w:rPr>
        <w:t>万元，其中流动资产</w:t>
      </w:r>
      <w:r>
        <w:rPr>
          <w:rFonts w:hint="eastAsia" w:ascii="仿宋_GB2312" w:hAnsi="仿宋_GB2312" w:eastAsia="仿宋_GB2312" w:cs="仿宋_GB2312"/>
          <w:sz w:val="30"/>
          <w:szCs w:val="30"/>
          <w:lang w:val="en-US" w:eastAsia="zh-CN"/>
        </w:rPr>
        <w:t>1233.87</w:t>
      </w:r>
      <w:r>
        <w:rPr>
          <w:rFonts w:hint="eastAsia" w:ascii="仿宋_GB2312" w:hAnsi="仿宋_GB2312" w:eastAsia="仿宋_GB2312" w:cs="仿宋_GB2312"/>
          <w:sz w:val="30"/>
          <w:szCs w:val="30"/>
        </w:rPr>
        <w:t>万元，固定资产</w:t>
      </w:r>
      <w:r>
        <w:rPr>
          <w:rFonts w:hint="eastAsia" w:ascii="仿宋_GB2312" w:hAnsi="仿宋_GB2312" w:eastAsia="仿宋_GB2312" w:cs="仿宋_GB2312"/>
          <w:sz w:val="30"/>
          <w:szCs w:val="30"/>
          <w:lang w:val="en-US" w:eastAsia="zh-CN"/>
        </w:rPr>
        <w:t>1162.05</w:t>
      </w:r>
      <w:r>
        <w:rPr>
          <w:rFonts w:hint="eastAsia" w:ascii="仿宋_GB2312" w:hAnsi="仿宋_GB2312" w:eastAsia="仿宋_GB2312" w:cs="仿宋_GB2312"/>
          <w:sz w:val="30"/>
          <w:szCs w:val="30"/>
        </w:rPr>
        <w:t>万元，在建工程660.49万元，无形资产1.04万元。固定资产当中，房屋构筑物727.79万元，汽车4辆19.45万元，其他固定资产</w:t>
      </w:r>
      <w:r>
        <w:rPr>
          <w:rFonts w:hint="eastAsia" w:ascii="仿宋_GB2312" w:hAnsi="仿宋_GB2312" w:eastAsia="仿宋_GB2312" w:cs="仿宋_GB2312"/>
          <w:sz w:val="30"/>
          <w:szCs w:val="30"/>
          <w:lang w:val="en-US" w:eastAsia="zh-CN"/>
        </w:rPr>
        <w:t>414.81</w:t>
      </w:r>
      <w:r>
        <w:rPr>
          <w:rFonts w:hint="eastAsia" w:ascii="仿宋_GB2312" w:hAnsi="仿宋_GB2312" w:eastAsia="仿宋_GB2312" w:cs="仿宋_GB2312"/>
          <w:sz w:val="30"/>
          <w:szCs w:val="30"/>
        </w:rPr>
        <w:t>万元。与上年相比，本年资产总额减少</w:t>
      </w:r>
      <w:r>
        <w:rPr>
          <w:rFonts w:hint="eastAsia" w:ascii="仿宋_GB2312" w:hAnsi="仿宋_GB2312" w:eastAsia="仿宋_GB2312" w:cs="仿宋_GB2312"/>
          <w:sz w:val="30"/>
          <w:szCs w:val="30"/>
          <w:lang w:val="en-US" w:eastAsia="zh-CN"/>
        </w:rPr>
        <w:t>197.29</w:t>
      </w:r>
      <w:r>
        <w:rPr>
          <w:rFonts w:hint="eastAsia" w:ascii="仿宋_GB2312" w:hAnsi="仿宋_GB2312" w:eastAsia="仿宋_GB2312" w:cs="仿宋_GB2312"/>
          <w:sz w:val="30"/>
          <w:szCs w:val="30"/>
        </w:rPr>
        <w:t>万元。</w:t>
      </w:r>
    </w:p>
    <w:p>
      <w:pPr>
        <w:ind w:firstLine="643" w:firstLineChars="200"/>
        <w:rPr>
          <w:rFonts w:hint="eastAsia" w:ascii="楷体" w:hAnsi="楷体" w:eastAsia="楷体" w:cstheme="minorEastAsia"/>
          <w:b/>
          <w:bCs w:val="0"/>
          <w:sz w:val="32"/>
          <w:szCs w:val="32"/>
          <w:lang w:val="en-US" w:eastAsia="zh-CN"/>
        </w:rPr>
      </w:pPr>
      <w:r>
        <w:rPr>
          <w:rFonts w:hint="eastAsia" w:ascii="楷体" w:hAnsi="楷体" w:eastAsia="楷体" w:cstheme="minorEastAsia"/>
          <w:b/>
          <w:bCs w:val="0"/>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color w:val="auto"/>
          <w:sz w:val="32"/>
          <w:szCs w:val="32"/>
          <w:lang w:val="en-US" w:eastAsia="zh-CN"/>
        </w:rPr>
      </w:pPr>
      <w:r>
        <w:rPr>
          <w:rFonts w:hint="eastAsia" w:ascii="仿宋_GB2312" w:hAnsi="仿宋_GB2312" w:eastAsia="仿宋_GB2312" w:cs="仿宋_GB2312"/>
          <w:sz w:val="32"/>
          <w:szCs w:val="32"/>
          <w:lang w:val="en-US" w:eastAsia="zh-CN"/>
        </w:rPr>
        <w:t>我单位2020年项目支出2033.2万元，其中重点项目（龙山大道工程）支出600万元，该项目目前已完工，未进行决算审计；森林村庄绿化支出284.5万元；节能环保支出151.8万元（主要为生物质锅炉及燃料支出）；农林水支出268.66万元；村级转移支付支出263万元。</w:t>
      </w:r>
    </w:p>
    <w:p>
      <w:pPr>
        <w:ind w:firstLine="643" w:firstLineChars="200"/>
        <w:rPr>
          <w:rFonts w:hint="eastAsia" w:ascii="楷体" w:hAnsi="楷体" w:eastAsia="楷体" w:cstheme="minorEastAsia"/>
          <w:b/>
          <w:bCs w:val="0"/>
          <w:sz w:val="32"/>
          <w:szCs w:val="32"/>
          <w:lang w:val="en-US" w:eastAsia="zh-CN"/>
        </w:rPr>
      </w:pPr>
      <w:r>
        <w:rPr>
          <w:rFonts w:hint="eastAsia" w:ascii="楷体" w:hAnsi="楷体" w:eastAsia="楷体" w:cstheme="minorEastAsia"/>
          <w:b/>
          <w:bCs w:val="0"/>
          <w:sz w:val="32"/>
          <w:szCs w:val="32"/>
          <w:lang w:val="en-US" w:eastAsia="zh-CN"/>
        </w:rPr>
        <w:t>九、一般公共预算“三公”经费支出增减变化原因等说明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6</w:t>
      </w:r>
      <w:r>
        <w:rPr>
          <w:rFonts w:hint="eastAsia" w:ascii="仿宋_GB2312" w:eastAsia="仿宋_GB2312" w:hAnsiTheme="minorEastAsia" w:cstheme="minorEastAsia"/>
          <w:color w:val="auto"/>
          <w:sz w:val="32"/>
          <w:szCs w:val="32"/>
        </w:rPr>
        <w:t>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无变化</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%。主要原因是：专项活动减少。</w:t>
      </w:r>
      <w:r>
        <w:rPr>
          <w:rFonts w:hint="eastAsia" w:ascii="仿宋_GB2312" w:eastAsia="仿宋_GB2312" w:hAnsiTheme="minorEastAsia" w:cstheme="minorEastAsia"/>
          <w:color w:val="auto"/>
          <w:sz w:val="32"/>
          <w:szCs w:val="32"/>
          <w:lang w:eastAsia="zh-CN"/>
        </w:rPr>
        <w:t>本年度国内公务接待共</w:t>
      </w:r>
      <w:r>
        <w:rPr>
          <w:rFonts w:hint="eastAsia" w:ascii="仿宋_GB2312" w:eastAsia="仿宋_GB2312" w:hAnsiTheme="minorEastAsia" w:cstheme="minorEastAsia"/>
          <w:color w:val="auto"/>
          <w:sz w:val="32"/>
          <w:szCs w:val="32"/>
          <w:lang w:val="en-US" w:eastAsia="zh-CN"/>
        </w:rPr>
        <w:t xml:space="preserve"> 批次，共 人。</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w:t>
      </w:r>
      <w:r>
        <w:rPr>
          <w:rFonts w:hint="eastAsia" w:ascii="仿宋_GB2312" w:eastAsia="仿宋_GB2312" w:hAnsiTheme="minorEastAsia" w:cstheme="minorEastAsia"/>
          <w:color w:val="auto"/>
          <w:sz w:val="32"/>
          <w:szCs w:val="32"/>
          <w:lang w:val="en-US" w:eastAsia="zh-CN"/>
        </w:rPr>
        <w:t>6</w:t>
      </w:r>
      <w:r>
        <w:rPr>
          <w:rFonts w:hint="eastAsia" w:ascii="仿宋_GB2312" w:eastAsia="仿宋_GB2312" w:hAnsiTheme="minorEastAsia" w:cstheme="minorEastAsia"/>
          <w:color w:val="auto"/>
          <w:sz w:val="32"/>
          <w:szCs w:val="32"/>
        </w:rPr>
        <w:t>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6</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w:t>
      </w:r>
      <w:r>
        <w:rPr>
          <w:rFonts w:hint="eastAsia" w:ascii="仿宋_GB2312" w:eastAsia="仿宋_GB2312" w:hAnsiTheme="minorEastAsia" w:cstheme="minorEastAsia"/>
          <w:color w:val="auto"/>
          <w:sz w:val="32"/>
          <w:szCs w:val="32"/>
          <w:lang w:eastAsia="zh-CN"/>
        </w:rPr>
        <w:t>无变化</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0辆，公务用车保有量3辆。</w:t>
      </w:r>
    </w:p>
    <w:p>
      <w:pPr>
        <w:ind w:firstLine="643" w:firstLineChars="200"/>
        <w:rPr>
          <w:rFonts w:hint="eastAsia" w:ascii="楷体" w:hAnsi="楷体" w:eastAsia="楷体" w:cstheme="minorEastAsia"/>
          <w:b/>
          <w:bCs w:val="0"/>
          <w:sz w:val="32"/>
          <w:szCs w:val="32"/>
          <w:lang w:val="en-US" w:eastAsia="zh-CN"/>
        </w:rPr>
      </w:pPr>
      <w:r>
        <w:rPr>
          <w:rFonts w:hint="eastAsia" w:ascii="楷体" w:hAnsi="楷体" w:eastAsia="楷体" w:cstheme="minorEastAsia"/>
          <w:b/>
          <w:bCs w:val="0"/>
          <w:sz w:val="32"/>
          <w:szCs w:val="32"/>
          <w:lang w:val="en-US" w:eastAsia="zh-CN"/>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0A39B1"/>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48B01BA"/>
    <w:rsid w:val="05E42E29"/>
    <w:rsid w:val="061E09E3"/>
    <w:rsid w:val="06A43BA7"/>
    <w:rsid w:val="087A6196"/>
    <w:rsid w:val="0C5A5250"/>
    <w:rsid w:val="0C64513E"/>
    <w:rsid w:val="0DE649EC"/>
    <w:rsid w:val="0EE25EB1"/>
    <w:rsid w:val="10CB3E8D"/>
    <w:rsid w:val="11F35FF2"/>
    <w:rsid w:val="15B80D76"/>
    <w:rsid w:val="179A58B8"/>
    <w:rsid w:val="1B4A6025"/>
    <w:rsid w:val="1CCA292C"/>
    <w:rsid w:val="1DF453AF"/>
    <w:rsid w:val="1E107510"/>
    <w:rsid w:val="1E643EFE"/>
    <w:rsid w:val="209E0EC3"/>
    <w:rsid w:val="22140CC1"/>
    <w:rsid w:val="24D63713"/>
    <w:rsid w:val="2A937DAC"/>
    <w:rsid w:val="2DB60033"/>
    <w:rsid w:val="2F754CA8"/>
    <w:rsid w:val="2FB928F6"/>
    <w:rsid w:val="341824CB"/>
    <w:rsid w:val="343F3937"/>
    <w:rsid w:val="34D53928"/>
    <w:rsid w:val="35961AA8"/>
    <w:rsid w:val="36870474"/>
    <w:rsid w:val="37015ED3"/>
    <w:rsid w:val="39E01B38"/>
    <w:rsid w:val="3B915429"/>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8BE3358"/>
    <w:rsid w:val="6FD93AE0"/>
    <w:rsid w:val="71715484"/>
    <w:rsid w:val="71FC58C7"/>
    <w:rsid w:val="7249546B"/>
    <w:rsid w:val="729F0AAD"/>
    <w:rsid w:val="75F45C0F"/>
    <w:rsid w:val="799537F9"/>
    <w:rsid w:val="7C7014AB"/>
    <w:rsid w:val="7D704B01"/>
    <w:rsid w:val="7E832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9</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2021-06-04T07:34:09Z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