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theme="minorEastAsia"/>
          <w:sz w:val="44"/>
          <w:szCs w:val="44"/>
          <w:lang w:eastAsia="zh-CN"/>
        </w:rPr>
      </w:pPr>
    </w:p>
    <w:p>
      <w:pPr>
        <w:jc w:val="center"/>
        <w:rPr>
          <w:rFonts w:hint="eastAsia" w:ascii="Arial" w:hAnsi="Arial" w:eastAsia="黑体" w:cs="Arial"/>
          <w:sz w:val="44"/>
          <w:szCs w:val="44"/>
          <w:lang w:eastAsia="zh-CN"/>
        </w:rPr>
      </w:pPr>
      <w:r>
        <w:rPr>
          <w:rFonts w:hint="eastAsia" w:ascii="黑体" w:hAnsi="黑体" w:eastAsia="黑体" w:cstheme="minorEastAsia"/>
          <w:sz w:val="44"/>
          <w:szCs w:val="44"/>
          <w:lang w:eastAsia="zh-CN"/>
        </w:rPr>
        <w:t>襄垣</w:t>
      </w:r>
      <w:r>
        <w:rPr>
          <w:rFonts w:hint="eastAsia" w:ascii="黑体" w:hAnsi="黑体" w:eastAsia="黑体" w:cstheme="minorEastAsia"/>
          <w:sz w:val="44"/>
          <w:szCs w:val="44"/>
        </w:rPr>
        <w:t>县</w:t>
      </w:r>
      <w:r>
        <w:rPr>
          <w:rFonts w:hint="eastAsia" w:ascii="Arial" w:hAnsi="Arial" w:eastAsia="黑体" w:cs="Arial"/>
          <w:sz w:val="44"/>
          <w:szCs w:val="44"/>
          <w:lang w:eastAsia="zh-CN"/>
        </w:rPr>
        <w:t>商务中心</w:t>
      </w:r>
    </w:p>
    <w:p>
      <w:pPr>
        <w:jc w:val="center"/>
        <w:rPr>
          <w:rFonts w:ascii="黑体" w:hAnsi="黑体" w:eastAsia="黑体" w:cstheme="minorEastAsia"/>
          <w:sz w:val="44"/>
          <w:szCs w:val="44"/>
        </w:rPr>
      </w:pPr>
      <w:r>
        <w:rPr>
          <w:rFonts w:hint="eastAsia" w:ascii="黑体" w:hAnsi="黑体" w:eastAsia="黑体" w:cstheme="minorEastAsia"/>
          <w:sz w:val="44"/>
          <w:szCs w:val="44"/>
        </w:rPr>
        <w:t>20</w:t>
      </w:r>
      <w:r>
        <w:rPr>
          <w:rFonts w:hint="eastAsia" w:ascii="黑体" w:hAnsi="黑体" w:eastAsia="黑体" w:cstheme="minorEastAsia"/>
          <w:sz w:val="44"/>
          <w:szCs w:val="44"/>
          <w:lang w:val="en-US" w:eastAsia="zh-CN"/>
        </w:rPr>
        <w:t>20</w:t>
      </w:r>
      <w:r>
        <w:rPr>
          <w:rFonts w:hint="eastAsia" w:ascii="黑体" w:hAnsi="黑体" w:eastAsia="黑体" w:cstheme="minorEastAsia"/>
          <w:sz w:val="44"/>
          <w:szCs w:val="44"/>
        </w:rPr>
        <w:t>年部门</w:t>
      </w:r>
      <w:r>
        <w:rPr>
          <w:rFonts w:hint="eastAsia" w:ascii="黑体" w:hAnsi="黑体" w:eastAsia="黑体" w:cstheme="minorEastAsia"/>
          <w:sz w:val="44"/>
          <w:szCs w:val="44"/>
          <w:lang w:eastAsia="zh-CN"/>
        </w:rPr>
        <w:t>预算</w:t>
      </w:r>
      <w:r>
        <w:rPr>
          <w:rFonts w:hint="eastAsia" w:ascii="黑体" w:hAnsi="黑体" w:eastAsia="黑体" w:cstheme="minorEastAsia"/>
          <w:sz w:val="44"/>
          <w:szCs w:val="44"/>
        </w:rPr>
        <w:t>公开</w:t>
      </w:r>
      <w:r>
        <w:rPr>
          <w:rFonts w:hint="eastAsia" w:ascii="黑体" w:hAnsi="黑体" w:eastAsia="黑体" w:cstheme="minorEastAsia"/>
          <w:sz w:val="44"/>
          <w:szCs w:val="44"/>
          <w:lang w:eastAsia="zh-CN"/>
        </w:rPr>
        <w:t>情况</w:t>
      </w:r>
      <w:r>
        <w:rPr>
          <w:rFonts w:hint="eastAsia" w:ascii="黑体" w:hAnsi="黑体" w:eastAsia="黑体" w:cstheme="minorEastAsia"/>
          <w:sz w:val="44"/>
          <w:szCs w:val="44"/>
        </w:rPr>
        <w:t>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hint="eastAsia" w:ascii="楷体" w:hAnsi="楷体" w:eastAsia="楷体" w:cstheme="minorEastAsia"/>
          <w:b/>
          <w:bCs w:val="0"/>
          <w:sz w:val="32"/>
          <w:szCs w:val="32"/>
        </w:rPr>
      </w:pPr>
      <w:r>
        <w:rPr>
          <w:rFonts w:hint="eastAsia" w:ascii="楷体" w:hAnsi="楷体" w:eastAsia="楷体" w:cstheme="minorEastAsia"/>
          <w:b/>
          <w:bCs w:val="0"/>
          <w:sz w:val="32"/>
          <w:szCs w:val="32"/>
        </w:rPr>
        <w:t>一、部门主要职能</w:t>
      </w:r>
    </w:p>
    <w:p>
      <w:pPr>
        <w:ind w:firstLine="645"/>
        <w:rPr>
          <w:rFonts w:hint="eastAsia" w:ascii="仿宋" w:hAnsi="仿宋" w:eastAsia="仿宋" w:cs="仿宋_GB2312"/>
          <w:color w:val="000000" w:themeColor="text1"/>
          <w:kern w:val="2"/>
          <w:sz w:val="30"/>
          <w:szCs w:val="30"/>
          <w:lang w:val="en-US" w:eastAsia="zh-CN" w:bidi="ar"/>
          <w14:textFill>
            <w14:solidFill>
              <w14:schemeClr w14:val="tx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负责全县贸易流通服务业、国内外贸易行业监督服务主管部门。根据县级党政机关机构改革方案，所承担商务行政职能于2019年5月划入县工信局（商务局）。根据县编办《关于科级事业单位调整设置的通知》襄编办[2019]21号文件精神，襄垣县商务中心为襄垣县工业和信息化局管理的全额事业单位（参公），正科级建制。</w:t>
      </w:r>
    </w:p>
    <w:p>
      <w:pPr>
        <w:ind w:firstLine="643" w:firstLineChars="200"/>
        <w:rPr>
          <w:rFonts w:ascii="楷体" w:hAnsi="楷体" w:eastAsia="楷体" w:cstheme="minorEastAsia"/>
          <w:b/>
          <w:bCs w:val="0"/>
          <w:sz w:val="32"/>
          <w:szCs w:val="32"/>
        </w:rPr>
      </w:pPr>
      <w:r>
        <w:rPr>
          <w:rFonts w:hint="eastAsia" w:ascii="楷体" w:hAnsi="楷体" w:eastAsia="楷体" w:cstheme="minorEastAsia"/>
          <w:b/>
          <w:bCs w:val="0"/>
          <w:sz w:val="32"/>
          <w:szCs w:val="32"/>
        </w:rPr>
        <w:t>二、部门基本情况</w:t>
      </w:r>
    </w:p>
    <w:p>
      <w:pPr>
        <w:widowControl/>
        <w:spacing w:line="324" w:lineRule="atLeast"/>
        <w:ind w:left="540"/>
        <w:jc w:val="left"/>
        <w:rPr>
          <w:rFonts w:hint="eastAsia" w:ascii="仿宋_GB2312" w:hAnsi="楷体" w:eastAsia="仿宋_GB2312" w:cs="宋体"/>
          <w:b w:val="0"/>
          <w:bCs/>
          <w:color w:val="333333"/>
          <w:kern w:val="0"/>
          <w:sz w:val="18"/>
          <w:szCs w:val="18"/>
          <w:lang w:eastAsia="zh-CN"/>
        </w:rPr>
      </w:pPr>
      <w:r>
        <w:rPr>
          <w:rFonts w:hint="eastAsia" w:ascii="仿宋_GB2312" w:hAnsi="楷体" w:eastAsia="仿宋_GB2312" w:cs="宋体"/>
          <w:b w:val="0"/>
          <w:bCs/>
          <w:color w:val="333333"/>
          <w:kern w:val="0"/>
          <w:sz w:val="32"/>
          <w:szCs w:val="32"/>
        </w:rPr>
        <w:t>（一）</w:t>
      </w:r>
      <w:r>
        <w:rPr>
          <w:rFonts w:hint="eastAsia" w:ascii="仿宋_GB2312" w:hAnsi="楷体" w:eastAsia="仿宋_GB2312" w:cs="宋体"/>
          <w:b w:val="0"/>
          <w:bCs/>
          <w:color w:val="333333"/>
          <w:kern w:val="0"/>
          <w:sz w:val="32"/>
          <w:szCs w:val="32"/>
          <w:lang w:eastAsia="zh-CN"/>
        </w:rPr>
        <w:t>机构设置情况</w:t>
      </w:r>
    </w:p>
    <w:p>
      <w:pPr>
        <w:ind w:firstLine="645"/>
        <w:rPr>
          <w:rFonts w:hint="eastAsia" w:ascii="仿宋_GB2312" w:hAnsi="仿宋" w:eastAsia="仿宋_GB2312" w:cstheme="minorEastAsia"/>
          <w:color w:val="5B9BD5" w:themeColor="accent1"/>
          <w:sz w:val="32"/>
          <w:szCs w:val="32"/>
          <w14:textFill>
            <w14:solidFill>
              <w14:schemeClr w14:val="accent1"/>
            </w14:solidFill>
          </w14:textFill>
        </w:rPr>
      </w:pPr>
      <w:r>
        <w:rPr>
          <w:rFonts w:hint="eastAsia" w:ascii="仿宋" w:hAnsi="仿宋" w:eastAsia="仿宋" w:cs="仿宋_GB2312"/>
          <w:color w:val="000000" w:themeColor="text1"/>
          <w:kern w:val="2"/>
          <w:sz w:val="30"/>
          <w:szCs w:val="30"/>
          <w:lang w:val="en-US" w:eastAsia="zh-CN" w:bidi="ar"/>
          <w14:textFill>
            <w14:solidFill>
              <w14:schemeClr w14:val="tx1"/>
            </w14:solidFill>
          </w14:textFill>
        </w:rPr>
        <w:t>内设6个职能科室1个队：综合办公室、内贸业服务科、新经济发展科、市场运行和消费促进科、财务科、安全监督科、商务综合执法队。</w:t>
      </w:r>
      <w:r>
        <w:rPr>
          <w:rFonts w:hint="eastAsia" w:ascii="仿宋" w:hAnsi="仿宋" w:eastAsia="仿宋" w:cs="仿宋"/>
          <w:i w:val="0"/>
          <w:caps w:val="0"/>
          <w:color w:val="000000" w:themeColor="text1"/>
          <w:spacing w:val="0"/>
          <w:kern w:val="2"/>
          <w:sz w:val="32"/>
          <w:szCs w:val="32"/>
          <w:shd w:val="clear" w:color="auto" w:fill="FFFFFF"/>
          <w14:textFill>
            <w14:solidFill>
              <w14:schemeClr w14:val="tx1"/>
            </w14:solidFill>
          </w14:textFill>
        </w:rPr>
        <w:t>系</w:t>
      </w:r>
      <w:r>
        <w:rPr>
          <w:rFonts w:hint="eastAsia" w:ascii="仿宋" w:hAnsi="仿宋" w:eastAsia="仿宋" w:cs="仿宋"/>
          <w:i w:val="0"/>
          <w:caps w:val="0"/>
          <w:color w:val="333333"/>
          <w:spacing w:val="0"/>
          <w:kern w:val="2"/>
          <w:sz w:val="32"/>
          <w:szCs w:val="32"/>
          <w:shd w:val="clear" w:color="auto" w:fill="FFFFFF"/>
        </w:rPr>
        <w:t>正科级参公事业单位，现有</w:t>
      </w:r>
      <w:r>
        <w:rPr>
          <w:rFonts w:hint="eastAsia" w:ascii="仿宋" w:hAnsi="仿宋" w:eastAsia="仿宋" w:cs="仿宋"/>
          <w:i w:val="0"/>
          <w:caps w:val="0"/>
          <w:color w:val="333333"/>
          <w:spacing w:val="0"/>
          <w:kern w:val="2"/>
          <w:sz w:val="32"/>
          <w:szCs w:val="32"/>
          <w:shd w:val="clear" w:color="auto" w:fill="FFFFFF"/>
          <w:lang w:eastAsia="zh-CN"/>
        </w:rPr>
        <w:t>参公</w:t>
      </w:r>
      <w:r>
        <w:rPr>
          <w:rFonts w:hint="eastAsia" w:ascii="仿宋" w:hAnsi="仿宋" w:eastAsia="仿宋" w:cs="仿宋"/>
          <w:i w:val="0"/>
          <w:caps w:val="0"/>
          <w:color w:val="333333"/>
          <w:spacing w:val="0"/>
          <w:kern w:val="2"/>
          <w:sz w:val="32"/>
          <w:szCs w:val="32"/>
          <w:shd w:val="clear" w:color="auto" w:fill="FFFFFF"/>
        </w:rPr>
        <w:t>编制人数1</w:t>
      </w:r>
      <w:r>
        <w:rPr>
          <w:rFonts w:hint="eastAsia" w:ascii="仿宋" w:hAnsi="仿宋" w:eastAsia="仿宋" w:cs="仿宋"/>
          <w:i w:val="0"/>
          <w:caps w:val="0"/>
          <w:color w:val="333333"/>
          <w:spacing w:val="0"/>
          <w:kern w:val="2"/>
          <w:sz w:val="32"/>
          <w:szCs w:val="32"/>
          <w:shd w:val="clear" w:color="auto" w:fill="FFFFFF"/>
          <w:lang w:val="en-US" w:eastAsia="zh-CN"/>
        </w:rPr>
        <w:t>3</w:t>
      </w:r>
      <w:r>
        <w:rPr>
          <w:rFonts w:hint="eastAsia" w:ascii="仿宋" w:hAnsi="仿宋" w:eastAsia="仿宋" w:cs="仿宋"/>
          <w:i w:val="0"/>
          <w:caps w:val="0"/>
          <w:color w:val="333333"/>
          <w:spacing w:val="0"/>
          <w:kern w:val="2"/>
          <w:sz w:val="32"/>
          <w:szCs w:val="32"/>
          <w:shd w:val="clear" w:color="auto" w:fill="FFFFFF"/>
        </w:rPr>
        <w:t>人，商务执法队事业编制人数3人</w:t>
      </w:r>
      <w:r>
        <w:rPr>
          <w:rFonts w:hint="eastAsia" w:ascii="仿宋" w:hAnsi="仿宋" w:eastAsia="仿宋" w:cs="仿宋"/>
          <w:i w:val="0"/>
          <w:caps w:val="0"/>
          <w:color w:val="333333"/>
          <w:spacing w:val="0"/>
          <w:kern w:val="2"/>
          <w:sz w:val="32"/>
          <w:szCs w:val="32"/>
          <w:shd w:val="clear" w:color="auto" w:fill="FFFFFF"/>
          <w:lang w:eastAsia="zh-CN"/>
        </w:rPr>
        <w:t>。</w:t>
      </w:r>
      <w:r>
        <w:rPr>
          <w:rFonts w:hint="eastAsia" w:ascii="仿宋" w:hAnsi="仿宋" w:eastAsia="仿宋" w:cs="仿宋"/>
          <w:i w:val="0"/>
          <w:caps w:val="0"/>
          <w:color w:val="333333"/>
          <w:spacing w:val="0"/>
          <w:kern w:val="2"/>
          <w:sz w:val="32"/>
          <w:szCs w:val="32"/>
          <w:shd w:val="clear" w:color="auto" w:fill="FFFFFF"/>
        </w:rPr>
        <w:t>实有人员1</w:t>
      </w:r>
      <w:r>
        <w:rPr>
          <w:rFonts w:hint="eastAsia" w:ascii="仿宋" w:hAnsi="仿宋" w:eastAsia="仿宋" w:cs="仿宋"/>
          <w:i w:val="0"/>
          <w:caps w:val="0"/>
          <w:color w:val="333333"/>
          <w:spacing w:val="0"/>
          <w:kern w:val="2"/>
          <w:sz w:val="32"/>
          <w:szCs w:val="32"/>
          <w:shd w:val="clear" w:color="auto" w:fill="FFFFFF"/>
          <w:lang w:val="en-US" w:eastAsia="zh-CN"/>
        </w:rPr>
        <w:t>0</w:t>
      </w:r>
      <w:r>
        <w:rPr>
          <w:rFonts w:hint="eastAsia" w:ascii="仿宋" w:hAnsi="仿宋" w:eastAsia="仿宋" w:cs="仿宋"/>
          <w:i w:val="0"/>
          <w:caps w:val="0"/>
          <w:color w:val="333333"/>
          <w:spacing w:val="0"/>
          <w:kern w:val="2"/>
          <w:sz w:val="32"/>
          <w:szCs w:val="32"/>
          <w:shd w:val="clear" w:color="auto" w:fill="FFFFFF"/>
        </w:rPr>
        <w:t>人，</w:t>
      </w:r>
      <w:r>
        <w:rPr>
          <w:rFonts w:hint="eastAsia" w:ascii="仿宋" w:hAnsi="仿宋" w:eastAsia="仿宋" w:cs="仿宋"/>
          <w:i w:val="0"/>
          <w:caps w:val="0"/>
          <w:color w:val="333333"/>
          <w:spacing w:val="0"/>
          <w:kern w:val="2"/>
          <w:sz w:val="32"/>
          <w:szCs w:val="32"/>
          <w:shd w:val="clear" w:color="auto" w:fill="FFFFFF"/>
          <w:lang w:eastAsia="zh-CN"/>
        </w:rPr>
        <w:t>其中参公事业</w:t>
      </w:r>
      <w:r>
        <w:rPr>
          <w:rFonts w:hint="eastAsia" w:ascii="仿宋" w:hAnsi="仿宋" w:eastAsia="仿宋" w:cs="仿宋"/>
          <w:i w:val="0"/>
          <w:caps w:val="0"/>
          <w:color w:val="333333"/>
          <w:spacing w:val="0"/>
          <w:kern w:val="2"/>
          <w:sz w:val="32"/>
          <w:szCs w:val="32"/>
          <w:shd w:val="clear" w:color="auto" w:fill="FFFFFF"/>
          <w:lang w:val="en-US" w:eastAsia="zh-CN"/>
        </w:rPr>
        <w:t>8人，参公工勤2人，事业人员2人。</w:t>
      </w:r>
    </w:p>
    <w:p>
      <w:pPr>
        <w:widowControl/>
        <w:spacing w:line="324" w:lineRule="atLeast"/>
        <w:ind w:left="540"/>
        <w:jc w:val="left"/>
        <w:rPr>
          <w:rFonts w:ascii="仿宋_GB2312" w:hAnsi="楷体" w:eastAsia="仿宋_GB2312" w:cs="宋体"/>
          <w:b w:val="0"/>
          <w:bCs/>
          <w:color w:val="333333"/>
          <w:kern w:val="0"/>
          <w:sz w:val="32"/>
          <w:szCs w:val="32"/>
        </w:rPr>
      </w:pPr>
      <w:r>
        <w:rPr>
          <w:rFonts w:hint="eastAsia" w:ascii="仿宋_GB2312" w:hAnsi="楷体" w:eastAsia="仿宋_GB2312" w:cs="宋体"/>
          <w:b w:val="0"/>
          <w:bCs/>
          <w:color w:val="333333"/>
          <w:kern w:val="0"/>
          <w:sz w:val="32"/>
          <w:szCs w:val="32"/>
        </w:rPr>
        <w:t>（二）人员情况说明</w:t>
      </w:r>
    </w:p>
    <w:p>
      <w:pPr>
        <w:ind w:firstLine="640" w:firstLineChars="200"/>
        <w:rPr>
          <w:rFonts w:hint="eastAsia" w:ascii="仿宋" w:hAnsi="仿宋" w:eastAsia="仿宋" w:cs="仿宋"/>
          <w:i w:val="0"/>
          <w:caps w:val="0"/>
          <w:color w:val="333333"/>
          <w:spacing w:val="0"/>
          <w:kern w:val="2"/>
          <w:sz w:val="32"/>
          <w:szCs w:val="32"/>
          <w:shd w:val="clear" w:color="auto" w:fill="FFFFFF"/>
          <w:lang w:val="en-US" w:eastAsia="zh-CN"/>
        </w:rPr>
      </w:pPr>
      <w:r>
        <w:rPr>
          <w:rFonts w:hint="eastAsia" w:ascii="仿宋" w:hAnsi="仿宋" w:eastAsia="仿宋" w:cs="仿宋"/>
          <w:i w:val="0"/>
          <w:caps w:val="0"/>
          <w:color w:val="333333"/>
          <w:spacing w:val="0"/>
          <w:kern w:val="2"/>
          <w:sz w:val="32"/>
          <w:szCs w:val="32"/>
          <w:shd w:val="clear" w:color="auto" w:fill="FFFFFF"/>
        </w:rPr>
        <w:t>现有</w:t>
      </w:r>
      <w:r>
        <w:rPr>
          <w:rFonts w:hint="eastAsia" w:ascii="仿宋" w:hAnsi="仿宋" w:eastAsia="仿宋" w:cs="仿宋"/>
          <w:i w:val="0"/>
          <w:caps w:val="0"/>
          <w:color w:val="333333"/>
          <w:spacing w:val="0"/>
          <w:kern w:val="2"/>
          <w:sz w:val="32"/>
          <w:szCs w:val="32"/>
          <w:shd w:val="clear" w:color="auto" w:fill="FFFFFF"/>
          <w:lang w:eastAsia="zh-CN"/>
        </w:rPr>
        <w:t>参公、事业</w:t>
      </w:r>
      <w:r>
        <w:rPr>
          <w:rFonts w:hint="eastAsia" w:ascii="仿宋" w:hAnsi="仿宋" w:eastAsia="仿宋" w:cs="仿宋"/>
          <w:i w:val="0"/>
          <w:caps w:val="0"/>
          <w:color w:val="333333"/>
          <w:spacing w:val="0"/>
          <w:kern w:val="2"/>
          <w:sz w:val="32"/>
          <w:szCs w:val="32"/>
          <w:shd w:val="clear" w:color="auto" w:fill="FFFFFF"/>
        </w:rPr>
        <w:t>编制人数1</w:t>
      </w:r>
      <w:r>
        <w:rPr>
          <w:rFonts w:hint="eastAsia" w:ascii="仿宋" w:hAnsi="仿宋" w:eastAsia="仿宋" w:cs="仿宋"/>
          <w:i w:val="0"/>
          <w:caps w:val="0"/>
          <w:color w:val="333333"/>
          <w:spacing w:val="0"/>
          <w:kern w:val="2"/>
          <w:sz w:val="32"/>
          <w:szCs w:val="32"/>
          <w:shd w:val="clear" w:color="auto" w:fill="FFFFFF"/>
          <w:lang w:val="en-US" w:eastAsia="zh-CN"/>
        </w:rPr>
        <w:t>6</w:t>
      </w:r>
      <w:r>
        <w:rPr>
          <w:rFonts w:hint="eastAsia" w:ascii="仿宋" w:hAnsi="仿宋" w:eastAsia="仿宋" w:cs="仿宋"/>
          <w:i w:val="0"/>
          <w:caps w:val="0"/>
          <w:color w:val="333333"/>
          <w:spacing w:val="0"/>
          <w:kern w:val="2"/>
          <w:sz w:val="32"/>
          <w:szCs w:val="32"/>
          <w:shd w:val="clear" w:color="auto" w:fill="FFFFFF"/>
        </w:rPr>
        <w:t>人，</w:t>
      </w:r>
      <w:r>
        <w:rPr>
          <w:rFonts w:hint="eastAsia" w:ascii="仿宋" w:hAnsi="仿宋" w:eastAsia="仿宋" w:cs="仿宋"/>
          <w:i w:val="0"/>
          <w:caps w:val="0"/>
          <w:color w:val="333333"/>
          <w:spacing w:val="0"/>
          <w:kern w:val="2"/>
          <w:sz w:val="32"/>
          <w:szCs w:val="32"/>
          <w:shd w:val="clear" w:color="auto" w:fill="FFFFFF"/>
          <w:lang w:eastAsia="zh-CN"/>
        </w:rPr>
        <w:t>其中，参公编制</w:t>
      </w:r>
      <w:r>
        <w:rPr>
          <w:rFonts w:hint="eastAsia" w:ascii="仿宋" w:hAnsi="仿宋" w:eastAsia="仿宋" w:cs="仿宋"/>
          <w:i w:val="0"/>
          <w:caps w:val="0"/>
          <w:color w:val="333333"/>
          <w:spacing w:val="0"/>
          <w:kern w:val="2"/>
          <w:sz w:val="32"/>
          <w:szCs w:val="32"/>
          <w:shd w:val="clear" w:color="auto" w:fill="FFFFFF"/>
          <w:lang w:val="en-US" w:eastAsia="zh-CN"/>
        </w:rPr>
        <w:t>13人，</w:t>
      </w:r>
      <w:r>
        <w:rPr>
          <w:rFonts w:hint="eastAsia" w:ascii="仿宋" w:hAnsi="仿宋" w:eastAsia="仿宋" w:cs="仿宋"/>
          <w:i w:val="0"/>
          <w:caps w:val="0"/>
          <w:color w:val="333333"/>
          <w:spacing w:val="0"/>
          <w:kern w:val="2"/>
          <w:sz w:val="32"/>
          <w:szCs w:val="32"/>
          <w:shd w:val="clear" w:color="auto" w:fill="FFFFFF"/>
        </w:rPr>
        <w:t>商务执法队事业编制3人</w:t>
      </w:r>
      <w:r>
        <w:rPr>
          <w:rFonts w:hint="eastAsia" w:ascii="仿宋" w:hAnsi="仿宋" w:eastAsia="仿宋" w:cs="仿宋"/>
          <w:i w:val="0"/>
          <w:caps w:val="0"/>
          <w:color w:val="333333"/>
          <w:spacing w:val="0"/>
          <w:kern w:val="2"/>
          <w:sz w:val="32"/>
          <w:szCs w:val="32"/>
          <w:shd w:val="clear" w:color="auto" w:fill="FFFFFF"/>
          <w:lang w:eastAsia="zh-CN"/>
        </w:rPr>
        <w:t>。</w:t>
      </w:r>
      <w:r>
        <w:rPr>
          <w:rFonts w:hint="eastAsia" w:ascii="仿宋" w:hAnsi="仿宋" w:eastAsia="仿宋" w:cs="仿宋"/>
          <w:i w:val="0"/>
          <w:caps w:val="0"/>
          <w:color w:val="333333"/>
          <w:spacing w:val="0"/>
          <w:kern w:val="2"/>
          <w:sz w:val="32"/>
          <w:szCs w:val="32"/>
          <w:shd w:val="clear" w:color="auto" w:fill="FFFFFF"/>
        </w:rPr>
        <w:t>实有人员1</w:t>
      </w:r>
      <w:r>
        <w:rPr>
          <w:rFonts w:hint="eastAsia" w:ascii="仿宋" w:hAnsi="仿宋" w:eastAsia="仿宋" w:cs="仿宋"/>
          <w:i w:val="0"/>
          <w:caps w:val="0"/>
          <w:color w:val="333333"/>
          <w:spacing w:val="0"/>
          <w:kern w:val="2"/>
          <w:sz w:val="32"/>
          <w:szCs w:val="32"/>
          <w:shd w:val="clear" w:color="auto" w:fill="FFFFFF"/>
          <w:lang w:val="en-US" w:eastAsia="zh-CN"/>
        </w:rPr>
        <w:t>2</w:t>
      </w:r>
      <w:r>
        <w:rPr>
          <w:rFonts w:hint="eastAsia" w:ascii="仿宋" w:hAnsi="仿宋" w:eastAsia="仿宋" w:cs="仿宋"/>
          <w:i w:val="0"/>
          <w:caps w:val="0"/>
          <w:color w:val="333333"/>
          <w:spacing w:val="0"/>
          <w:kern w:val="2"/>
          <w:sz w:val="32"/>
          <w:szCs w:val="32"/>
          <w:shd w:val="clear" w:color="auto" w:fill="FFFFFF"/>
        </w:rPr>
        <w:t>人，</w:t>
      </w:r>
      <w:r>
        <w:rPr>
          <w:rFonts w:hint="eastAsia" w:ascii="仿宋" w:hAnsi="仿宋" w:eastAsia="仿宋" w:cs="仿宋"/>
          <w:i w:val="0"/>
          <w:caps w:val="0"/>
          <w:color w:val="333333"/>
          <w:spacing w:val="0"/>
          <w:kern w:val="2"/>
          <w:sz w:val="32"/>
          <w:szCs w:val="32"/>
          <w:shd w:val="clear" w:color="auto" w:fill="FFFFFF"/>
          <w:lang w:eastAsia="zh-CN"/>
        </w:rPr>
        <w:t>其中参公事业</w:t>
      </w:r>
      <w:r>
        <w:rPr>
          <w:rFonts w:hint="eastAsia" w:ascii="仿宋" w:hAnsi="仿宋" w:eastAsia="仿宋" w:cs="仿宋"/>
          <w:i w:val="0"/>
          <w:caps w:val="0"/>
          <w:color w:val="333333"/>
          <w:spacing w:val="0"/>
          <w:kern w:val="2"/>
          <w:sz w:val="32"/>
          <w:szCs w:val="32"/>
          <w:shd w:val="clear" w:color="auto" w:fill="FFFFFF"/>
          <w:lang w:val="en-US" w:eastAsia="zh-CN"/>
        </w:rPr>
        <w:t>8人，参公工勤2人，事业人员2人。</w:t>
      </w:r>
    </w:p>
    <w:p>
      <w:pPr>
        <w:ind w:firstLine="640" w:firstLineChars="200"/>
        <w:rPr>
          <w:rFonts w:hint="eastAsia" w:ascii="黑体" w:hAnsi="黑体" w:eastAsia="黑体" w:cstheme="minorEastAsia"/>
          <w:color w:val="C00000"/>
          <w:sz w:val="32"/>
          <w:szCs w:val="32"/>
          <w:lang w:eastAsia="zh-CN"/>
        </w:rPr>
      </w:pPr>
      <w:r>
        <w:rPr>
          <w:rFonts w:hint="eastAsia" w:ascii="黑体" w:hAnsi="黑体" w:eastAsia="黑体" w:cstheme="minorEastAsia"/>
          <w:sz w:val="32"/>
          <w:szCs w:val="32"/>
          <w:lang w:eastAsia="zh-CN"/>
        </w:rPr>
        <w:t>三、预算收支增减变化情况说明</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襄垣县商务中心2020年度收入、支出预算总计 525.17万元，与上年相比收、支预算总计各增加347.15万元，增长194.97 %。主要原因是：项目支出增加。其中：</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（一）收入预算总计525.17万元。包括：</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1．财政拨款收入预算总计525.17 万元。</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（1）一般公共预算收入预算525.17 万元，与上年相比增加347.15 万元，增长194.97 %。主要原因是工资正常增长、项目支出增加等原因。</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（2）政府性基金收入预算0万元，与上年相比增加（减少）0万元，增长（减少）0 %。主要原因是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本部门不涉及此项预算。</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2．财政专户管理资金收入预算总计0万元。与上年相比增加（减少） 0万元，增长（减少）0 %。主要原因是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本部门不涉及此项预算。</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3．其他资金收入预算总计0 万元。与上年相比增加（减少）0万元，增长（减少）0 %。主要原因是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本部门不涉及此项预算。</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4．上年结转资金预算数为 0万元。与上年相比增加（减少）0万元，增长（减少）0 %。主要原因是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本部门不涉及此项预算。</w:t>
      </w:r>
    </w:p>
    <w:p>
      <w:pPr>
        <w:ind w:firstLine="645"/>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（二）支出预算总计525.17万元。包括：</w:t>
      </w:r>
    </w:p>
    <w:p>
      <w:pPr>
        <w:ind w:firstLine="645"/>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1．一般公共服务（类）支出491.74万元，主要用于人员支出和项目支出，与上年相比增加354.48万元，增长194.97 %。主要原因是工资正常增长、项目支出增加等原因。</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2．公共安全（类）支出 0万元，主要用于……。与上年相比增加（减少）0万元，增长（减少） 0 %。主要原因是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本部门不涉及此项预算。</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3．结转下年资金预算数为0万元，主要原因是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本部门不涉及此项预算。</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_GB2312"/>
          <w:color w:val="000000" w:themeColor="text1"/>
          <w:kern w:val="2"/>
          <w:sz w:val="32"/>
          <w:szCs w:val="32"/>
          <w:lang w:val="en-US" w:eastAsia="zh-CN" w:bidi="ar"/>
          <w14:textFill>
            <w14:solidFill>
              <w14:schemeClr w14:val="tx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此外，基本支出预算数为127.98万元。与上年相比减少25.91万元，减少16.82%。主要原因是在职转</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退休人员经费、运行经费减少。</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项目支出预算数为397.19万元。与上年相比增加373万元，增长1541.96 %。主要原因是本年度</w:t>
      </w:r>
      <w:bookmarkStart w:id="0" w:name="_GoBack"/>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项目支出预算增加。</w:t>
      </w:r>
    </w:p>
    <w:bookmarkEnd w:id="0"/>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eastAsia" w:ascii="仿宋" w:hAnsi="仿宋" w:eastAsia="仿宋" w:cs="仿宋_GB2312"/>
          <w:color w:val="5B9BD5" w:themeColor="accent1"/>
          <w:kern w:val="2"/>
          <w:sz w:val="32"/>
          <w:szCs w:val="32"/>
          <w:lang w:val="en-US" w:eastAsia="zh-CN" w:bidi="ar"/>
          <w14:textFill>
            <w14:solidFill>
              <w14:schemeClr w14:val="accent1"/>
            </w14:solidFill>
          </w14:textFill>
        </w:rPr>
      </w:pPr>
      <w:r>
        <w:rPr>
          <w:rFonts w:hint="eastAsia" w:ascii="仿宋" w:hAnsi="仿宋" w:eastAsia="仿宋" w:cs="仿宋_GB2312"/>
          <w:color w:val="000000" w:themeColor="text1"/>
          <w:kern w:val="2"/>
          <w:sz w:val="32"/>
          <w:szCs w:val="32"/>
          <w:lang w:val="en-US" w:eastAsia="zh-CN" w:bidi="ar"/>
          <w14:textFill>
            <w14:solidFill>
              <w14:schemeClr w14:val="tx1"/>
            </w14:solidFill>
          </w14:textFill>
        </w:rPr>
        <w:t>单位预留机动经费预算数为0万元。与上年相比增加（减少）0万元，增长（减少）0 %。主要原因是：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本部门不涉及此项预算。</w:t>
      </w:r>
    </w:p>
    <w:p>
      <w:pPr>
        <w:ind w:firstLine="640" w:firstLineChars="200"/>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w:t>
      </w:r>
      <w:r>
        <w:rPr>
          <w:rFonts w:hint="eastAsia" w:ascii="黑体" w:hAnsi="黑体" w:eastAsia="黑体" w:cs="黑体"/>
          <w:b w:val="0"/>
          <w:bCs/>
          <w:sz w:val="32"/>
          <w:szCs w:val="32"/>
          <w:lang w:eastAsia="zh-CN"/>
        </w:rPr>
        <w:t>机关运行经费安排情况说明</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w:t>
      </w:r>
      <w:r>
        <w:rPr>
          <w:rFonts w:hint="eastAsia" w:ascii="仿宋_GB2312" w:eastAsia="仿宋_GB2312" w:hAnsiTheme="minorEastAsia" w:cstheme="minorEastAsia"/>
          <w:color w:val="000000" w:themeColor="text1"/>
          <w:sz w:val="32"/>
          <w:szCs w:val="32"/>
          <w14:textFill>
            <w14:solidFill>
              <w14:schemeClr w14:val="tx1"/>
            </w14:solidFill>
          </w14:textFill>
        </w:rPr>
        <w:t>机关运行经费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11.28万元，较2019年减少 8.68 万元，其中：</w:t>
      </w:r>
      <w:r>
        <w:rPr>
          <w:rFonts w:hint="eastAsia" w:ascii="仿宋_GB2312" w:eastAsia="仿宋_GB2312" w:hAnsiTheme="minorEastAsia" w:cstheme="minorEastAsia"/>
          <w:color w:val="000000" w:themeColor="text1"/>
          <w:sz w:val="32"/>
          <w:szCs w:val="32"/>
          <w14:textFill>
            <w14:solidFill>
              <w14:schemeClr w14:val="tx1"/>
            </w14:solidFill>
          </w14:textFill>
        </w:rPr>
        <w:t>办公费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0.57万元</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邮电</w:t>
      </w:r>
      <w:r>
        <w:rPr>
          <w:rFonts w:hint="eastAsia" w:ascii="仿宋_GB2312" w:eastAsia="仿宋_GB2312" w:hAnsiTheme="minorEastAsia" w:cstheme="minorEastAsia"/>
          <w:color w:val="000000" w:themeColor="text1"/>
          <w:sz w:val="32"/>
          <w:szCs w:val="32"/>
          <w14:textFill>
            <w14:solidFill>
              <w14:schemeClr w14:val="tx1"/>
            </w14:solidFill>
          </w14:textFill>
        </w:rPr>
        <w:t>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0.72万元</w:t>
      </w:r>
      <w:r>
        <w:rPr>
          <w:rFonts w:hint="eastAsia" w:ascii="仿宋_GB2312" w:eastAsia="仿宋_GB2312" w:hAnsiTheme="minorEastAsia" w:cstheme="minorEastAsia"/>
          <w:color w:val="000000" w:themeColor="text1"/>
          <w:sz w:val="32"/>
          <w:szCs w:val="32"/>
          <w14:textFill>
            <w14:solidFill>
              <w14:schemeClr w14:val="tx1"/>
            </w14:solidFill>
          </w14:textFill>
        </w:rPr>
        <w:t>、差旅费</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支出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0.1万元、培训费0.03万元、劳务费0.96万元、工会经费1.08万元、福利费0.7万元、其他交通费6.96万元、其他商品和服务支出0.16万元</w:t>
      </w:r>
      <w:r>
        <w:rPr>
          <w:rFonts w:hint="eastAsia" w:ascii="仿宋_GB2312" w:eastAsia="仿宋_GB2312" w:hAnsiTheme="minorEastAsia" w:cstheme="minorEastAsia"/>
          <w:color w:val="000000" w:themeColor="text1"/>
          <w:sz w:val="32"/>
          <w:szCs w:val="32"/>
          <w14:textFill>
            <w14:solidFill>
              <w14:schemeClr w14:val="tx1"/>
            </w14:solidFill>
          </w14:textFill>
        </w:rPr>
        <w:t>。</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主要增减变化情况：在职转退休运行经费减少。</w:t>
      </w:r>
    </w:p>
    <w:p>
      <w:pPr>
        <w:ind w:firstLine="640" w:firstLineChars="200"/>
        <w:rPr>
          <w:rFonts w:hint="eastAsia" w:ascii="楷体" w:hAnsi="楷体" w:eastAsia="楷体" w:cstheme="minorEastAsia"/>
          <w:b w:val="0"/>
          <w:bCs/>
          <w:sz w:val="32"/>
          <w:szCs w:val="32"/>
        </w:rPr>
      </w:pPr>
      <w:r>
        <w:rPr>
          <w:rFonts w:hint="eastAsia" w:ascii="仿宋_GB2312" w:eastAsia="仿宋_GB2312" w:hAnsiTheme="minorEastAsia" w:cstheme="minorEastAsia"/>
          <w:color w:val="auto"/>
          <w:sz w:val="32"/>
          <w:szCs w:val="32"/>
          <w:lang w:eastAsia="zh-CN"/>
        </w:rPr>
        <w:t>五、</w:t>
      </w:r>
      <w:r>
        <w:rPr>
          <w:rFonts w:hint="eastAsia" w:ascii="楷体" w:hAnsi="楷体" w:eastAsia="楷体" w:cstheme="minorEastAsia"/>
          <w:b w:val="0"/>
          <w:bCs/>
          <w:sz w:val="32"/>
          <w:szCs w:val="32"/>
        </w:rPr>
        <w:t>政府采购</w:t>
      </w:r>
      <w:r>
        <w:rPr>
          <w:rFonts w:hint="eastAsia" w:ascii="楷体" w:hAnsi="楷体" w:eastAsia="楷体" w:cstheme="minorEastAsia"/>
          <w:b w:val="0"/>
          <w:bCs/>
          <w:sz w:val="32"/>
          <w:szCs w:val="32"/>
          <w:lang w:eastAsia="zh-CN"/>
        </w:rPr>
        <w:t>安排</w:t>
      </w:r>
      <w:r>
        <w:rPr>
          <w:rFonts w:hint="eastAsia" w:ascii="楷体" w:hAnsi="楷体" w:eastAsia="楷体" w:cstheme="minorEastAsia"/>
          <w:b w:val="0"/>
          <w:bCs/>
          <w:sz w:val="32"/>
          <w:szCs w:val="32"/>
        </w:rPr>
        <w:t>情况说明</w:t>
      </w:r>
    </w:p>
    <w:p>
      <w:pPr>
        <w:numPr>
          <w:ilvl w:val="0"/>
          <w:numId w:val="0"/>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年度政府采购</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安排</w:t>
      </w:r>
      <w:r>
        <w:rPr>
          <w:rFonts w:hint="eastAsia" w:ascii="仿宋_GB2312" w:eastAsia="仿宋_GB2312" w:hAnsiTheme="minorEastAsia" w:cstheme="minorEastAsia"/>
          <w:color w:val="000000" w:themeColor="text1"/>
          <w:sz w:val="32"/>
          <w:szCs w:val="32"/>
          <w14:textFill>
            <w14:solidFill>
              <w14:schemeClr w14:val="tx1"/>
            </w14:solidFill>
          </w14:textFill>
        </w:rPr>
        <w:t>0万元，其中：政府采购货物支出0万元、政府采购工程支出0万元、政府采购服务支出0万元。授予中小企业合同金额0万元，占政府采购支出总额的0%。</w:t>
      </w:r>
    </w:p>
    <w:p>
      <w:pPr>
        <w:ind w:firstLine="640" w:firstLineChars="200"/>
        <w:rPr>
          <w:rFonts w:hint="eastAsia" w:ascii="黑体" w:hAnsi="黑体" w:eastAsia="黑体" w:cs="黑体"/>
          <w:b w:val="0"/>
          <w:bCs/>
          <w:sz w:val="32"/>
          <w:szCs w:val="32"/>
          <w:lang w:eastAsia="zh-CN"/>
        </w:rPr>
      </w:pP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w:t>
      </w:r>
      <w:r>
        <w:rPr>
          <w:rFonts w:hint="eastAsia" w:ascii="黑体" w:hAnsi="黑体" w:eastAsia="黑体" w:cs="黑体"/>
          <w:b w:val="0"/>
          <w:bCs/>
          <w:sz w:val="32"/>
          <w:szCs w:val="32"/>
          <w:lang w:eastAsia="zh-CN"/>
        </w:rPr>
        <w:t>对专业性较强的名词进行解释</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（一）</w:t>
      </w:r>
      <w:r>
        <w:rPr>
          <w:rFonts w:hint="eastAsia" w:ascii="仿宋_GB2312" w:eastAsia="仿宋_GB2312" w:hAnsiTheme="minorEastAsia" w:cstheme="minorEastAsia"/>
          <w:sz w:val="32"/>
          <w:szCs w:val="32"/>
        </w:rPr>
        <w:t>财政拨款收入：指单位本年度从本级财政部门取得的财政拨款，包括一般公共预算财政拨款和政府性基金预算财政拨款。</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（二）</w:t>
      </w:r>
      <w:r>
        <w:rPr>
          <w:rFonts w:hint="eastAsia" w:ascii="仿宋_GB2312" w:eastAsia="仿宋_GB2312" w:hAnsiTheme="minorEastAsia" w:cstheme="minorEastAsia"/>
          <w:sz w:val="32"/>
          <w:szCs w:val="32"/>
        </w:rPr>
        <w:t>上级补助收入：指事业单位从主管部门和上级单位取得的非财政补助收入。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（三）</w:t>
      </w:r>
      <w:r>
        <w:rPr>
          <w:rFonts w:hint="eastAsia" w:ascii="仿宋_GB2312" w:eastAsia="仿宋_GB2312" w:hAnsiTheme="minorEastAsia" w:cstheme="minorEastAsia"/>
          <w:sz w:val="32"/>
          <w:szCs w:val="32"/>
        </w:rPr>
        <w:t xml:space="preserve">事业收入：指事业单位开展专业业务活动及其辅助活动取得的收入；事业单位收到的财政专户实际核拨的教育收费等资金在此反映。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（四）</w:t>
      </w:r>
      <w:r>
        <w:rPr>
          <w:rFonts w:hint="eastAsia" w:ascii="仿宋_GB2312" w:eastAsia="仿宋_GB2312" w:hAnsiTheme="minorEastAsia" w:cstheme="minorEastAsia"/>
          <w:sz w:val="32"/>
          <w:szCs w:val="32"/>
        </w:rPr>
        <w:t>经营收入：指事业单位在专业业务活动及其辅助活动之外开展非独立核算经营活动取得的收入。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（五）</w:t>
      </w:r>
      <w:r>
        <w:rPr>
          <w:rFonts w:hint="eastAsia" w:ascii="仿宋_GB2312" w:eastAsia="仿宋_GB2312" w:hAnsiTheme="minorEastAsia" w:cstheme="minorEastAsia"/>
          <w:sz w:val="32"/>
          <w:szCs w:val="32"/>
        </w:rPr>
        <w:t>附属单位缴款：指事业单位附属独立核算单位按照有关规定上缴的收入。</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（六）</w:t>
      </w:r>
      <w:r>
        <w:rPr>
          <w:rFonts w:hint="eastAsia" w:ascii="仿宋_GB2312" w:eastAsia="仿宋_GB2312" w:hAnsiTheme="minorEastAsia" w:cstheme="minorEastAsia"/>
          <w:sz w:val="32"/>
          <w:szCs w:val="32"/>
        </w:rPr>
        <w:t xml:space="preserve">其他收入：指单位取得的除上述“财政拨款收入”、“事业收入”、“经营收入”、“附属单位缴款”等以外的各项收入。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（七）</w:t>
      </w:r>
      <w:r>
        <w:rPr>
          <w:rFonts w:hint="eastAsia" w:ascii="仿宋_GB2312" w:eastAsia="仿宋_GB2312" w:hAnsiTheme="minorEastAsia" w:cstheme="minorEastAsia"/>
          <w:sz w:val="32"/>
          <w:szCs w:val="32"/>
        </w:rPr>
        <w:t xml:space="preserve">用事业基金弥补收支差额：指事业单位用事业基金弥补当年收支差额的数额。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（八）</w:t>
      </w:r>
      <w:r>
        <w:rPr>
          <w:rFonts w:hint="eastAsia" w:ascii="仿宋_GB2312" w:eastAsia="仿宋_GB2312" w:hAnsiTheme="minorEastAsia" w:cstheme="minorEastAsia"/>
          <w:sz w:val="32"/>
          <w:szCs w:val="32"/>
        </w:rPr>
        <w:t xml:space="preserve">年初结转和结余：指单位上年结转本年使用的基本支出结转、项目支出结转和结余和经营结余。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（九）</w:t>
      </w:r>
      <w:r>
        <w:rPr>
          <w:rFonts w:hint="eastAsia" w:ascii="仿宋_GB2312" w:eastAsia="仿宋_GB2312" w:hAnsiTheme="minorEastAsia" w:cstheme="minorEastAsia"/>
          <w:sz w:val="32"/>
          <w:szCs w:val="32"/>
        </w:rPr>
        <w:t xml:space="preserve">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（十）</w:t>
      </w:r>
      <w:r>
        <w:rPr>
          <w:rFonts w:hint="eastAsia" w:ascii="仿宋_GB2312" w:eastAsia="仿宋_GB2312" w:hAnsiTheme="minorEastAsia" w:cstheme="minorEastAsia"/>
          <w:sz w:val="32"/>
          <w:szCs w:val="32"/>
        </w:rPr>
        <w:t>年末结转和结余资金：指单位结转下年的基本支出结转、项目支出结转和结余和经营结余。</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十一</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基本支出：指为保障机构正常运转、完成日常工作任务而发生的人员支出和公用支出。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十二</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项目支出：指在基本支出之外为完成特定的行政任务或事业发展目标所发生的支出。 </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十三</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上缴上级支出：指事业单位按照财政部门和主管部门的规定上缴上级单位的支出。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十四</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经营支出：指事业单位在专业业务活动及其辅助活动之外开展非独立核算经营活动发生的支出。</w:t>
      </w:r>
    </w:p>
    <w:p>
      <w:pPr>
        <w:ind w:firstLine="640" w:firstLineChars="200"/>
        <w:rPr>
          <w:rFonts w:hint="eastAsia"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十五</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对附属单位补助支出：指事业单位用财政补助收入之外的收入对附属单位补助发生的支出。</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十六</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 xml:space="preserve">“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_GB2312" w:eastAsia="仿宋_GB2312" w:hAnsiTheme="minorEastAsia" w:cstheme="minorEastAsia"/>
          <w:sz w:val="32"/>
          <w:szCs w:val="32"/>
        </w:rPr>
      </w:pP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十七</w:t>
      </w:r>
      <w:r>
        <w:rPr>
          <w:rFonts w:hint="eastAsia" w:ascii="仿宋_GB2312" w:eastAsia="仿宋_GB2312" w:hAnsiTheme="minorEastAsia" w:cstheme="minorEastAsia"/>
          <w:sz w:val="32"/>
          <w:szCs w:val="32"/>
          <w:lang w:eastAsia="zh-CN"/>
        </w:rPr>
        <w:t>）</w:t>
      </w:r>
      <w:r>
        <w:rPr>
          <w:rFonts w:hint="eastAsia" w:ascii="仿宋_GB2312" w:eastAsia="仿宋_GB2312" w:hAnsiTheme="minorEastAsia" w:cstheme="minorEastAsia"/>
          <w:sz w:val="32"/>
          <w:szCs w:val="32"/>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0" w:firstLineChars="20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eastAsia="zh-CN"/>
        </w:rPr>
        <w:t>七、国有</w:t>
      </w:r>
      <w:r>
        <w:rPr>
          <w:rFonts w:hint="eastAsia" w:ascii="黑体" w:hAnsi="黑体" w:eastAsia="黑体" w:cs="黑体"/>
          <w:b w:val="0"/>
          <w:bCs/>
          <w:sz w:val="32"/>
          <w:szCs w:val="32"/>
          <w:lang w:val="en-US" w:eastAsia="zh-CN"/>
        </w:rPr>
        <w:t>资产占用情况说明</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shd w:val="clear" w:color="auto" w:fill="FFFFFF"/>
        </w:rPr>
        <w:t>截止201</w:t>
      </w:r>
      <w:r>
        <w:rPr>
          <w:rFonts w:hint="eastAsia" w:ascii="仿宋_GB2312" w:hAnsi="仿宋_GB2312" w:eastAsia="仿宋_GB2312" w:cs="仿宋_GB2312"/>
          <w:color w:val="auto"/>
          <w:sz w:val="32"/>
          <w:szCs w:val="32"/>
          <w:shd w:val="clear" w:color="auto" w:fill="FFFFFF"/>
          <w:lang w:val="en-US" w:eastAsia="zh-CN"/>
        </w:rPr>
        <w:t>9</w:t>
      </w:r>
      <w:r>
        <w:rPr>
          <w:rFonts w:hint="eastAsia" w:ascii="仿宋_GB2312" w:hAnsi="仿宋_GB2312" w:eastAsia="仿宋_GB2312" w:cs="仿宋_GB2312"/>
          <w:color w:val="auto"/>
          <w:sz w:val="32"/>
          <w:szCs w:val="32"/>
          <w:shd w:val="clear" w:color="auto" w:fill="FFFFFF"/>
        </w:rPr>
        <w:t>年12月31日，</w:t>
      </w:r>
      <w:r>
        <w:rPr>
          <w:rFonts w:hint="eastAsia" w:ascii="仿宋_GB2312" w:hAnsi="仿宋_GB2312" w:eastAsia="仿宋_GB2312" w:cs="仿宋_GB2312"/>
          <w:color w:val="auto"/>
          <w:sz w:val="32"/>
          <w:szCs w:val="32"/>
          <w:shd w:val="clear" w:color="auto" w:fill="FFFFFF"/>
          <w:lang w:eastAsia="zh-CN"/>
        </w:rPr>
        <w:t>本单位</w:t>
      </w:r>
      <w:r>
        <w:rPr>
          <w:rFonts w:hint="eastAsia" w:ascii="仿宋_GB2312" w:hAnsi="仿宋_GB2312" w:eastAsia="仿宋_GB2312" w:cs="仿宋_GB2312"/>
          <w:color w:val="auto"/>
          <w:sz w:val="32"/>
          <w:szCs w:val="32"/>
          <w:shd w:val="clear" w:color="auto" w:fill="FFFFFF"/>
        </w:rPr>
        <w:t>资产总额</w:t>
      </w:r>
      <w:r>
        <w:rPr>
          <w:rFonts w:hint="eastAsia" w:ascii="仿宋_GB2312" w:hAnsi="仿宋_GB2312" w:eastAsia="仿宋_GB2312" w:cs="仿宋_GB2312"/>
          <w:color w:val="auto"/>
          <w:sz w:val="32"/>
          <w:szCs w:val="32"/>
          <w:shd w:val="clear" w:color="auto" w:fill="FFFFFF"/>
          <w:lang w:val="en-US" w:eastAsia="zh-CN"/>
        </w:rPr>
        <w:t>205.56</w:t>
      </w:r>
      <w:r>
        <w:rPr>
          <w:rFonts w:hint="eastAsia" w:ascii="仿宋_GB2312" w:hAnsi="仿宋_GB2312" w:eastAsia="仿宋_GB2312" w:cs="仿宋_GB2312"/>
          <w:color w:val="auto"/>
          <w:sz w:val="32"/>
          <w:szCs w:val="32"/>
          <w:shd w:val="clear" w:color="auto" w:fill="FFFFFF"/>
        </w:rPr>
        <w:t>万元，其中流动资产</w:t>
      </w:r>
      <w:r>
        <w:rPr>
          <w:rFonts w:hint="eastAsia" w:ascii="仿宋_GB2312" w:hAnsi="仿宋_GB2312" w:eastAsia="仿宋_GB2312" w:cs="仿宋_GB2312"/>
          <w:color w:val="auto"/>
          <w:sz w:val="32"/>
          <w:szCs w:val="32"/>
          <w:shd w:val="clear" w:color="auto" w:fill="FFFFFF"/>
          <w:lang w:val="en-US" w:eastAsia="zh-CN"/>
        </w:rPr>
        <w:t>162.93</w:t>
      </w:r>
      <w:r>
        <w:rPr>
          <w:rFonts w:hint="eastAsia" w:ascii="仿宋_GB2312" w:hAnsi="仿宋_GB2312" w:eastAsia="仿宋_GB2312" w:cs="仿宋_GB2312"/>
          <w:color w:val="auto"/>
          <w:sz w:val="32"/>
          <w:szCs w:val="32"/>
          <w:shd w:val="clear" w:color="auto" w:fill="FFFFFF"/>
        </w:rPr>
        <w:t>万元，</w:t>
      </w:r>
      <w:r>
        <w:rPr>
          <w:rFonts w:hint="eastAsia" w:ascii="仿宋_GB2312" w:hAnsi="仿宋_GB2312" w:eastAsia="仿宋_GB2312" w:cs="仿宋_GB2312"/>
          <w:color w:val="auto"/>
          <w:sz w:val="32"/>
          <w:szCs w:val="32"/>
          <w:shd w:val="clear" w:color="auto" w:fill="FFFFFF"/>
          <w:lang w:eastAsia="zh-CN"/>
        </w:rPr>
        <w:t>长期投资</w:t>
      </w:r>
      <w:r>
        <w:rPr>
          <w:rFonts w:hint="eastAsia" w:ascii="仿宋_GB2312" w:hAnsi="仿宋_GB2312" w:eastAsia="仿宋_GB2312" w:cs="仿宋_GB2312"/>
          <w:color w:val="auto"/>
          <w:sz w:val="32"/>
          <w:szCs w:val="32"/>
          <w:shd w:val="clear" w:color="auto" w:fill="FFFFFF"/>
          <w:lang w:val="en-US" w:eastAsia="zh-CN"/>
        </w:rPr>
        <w:t>0.01万元，</w:t>
      </w:r>
      <w:r>
        <w:rPr>
          <w:rFonts w:hint="eastAsia" w:ascii="仿宋_GB2312" w:hAnsi="仿宋_GB2312" w:eastAsia="仿宋_GB2312" w:cs="仿宋_GB2312"/>
          <w:color w:val="auto"/>
          <w:sz w:val="32"/>
          <w:szCs w:val="32"/>
          <w:shd w:val="clear" w:color="auto" w:fill="FFFFFF"/>
        </w:rPr>
        <w:t>固定资产</w:t>
      </w:r>
      <w:r>
        <w:rPr>
          <w:rFonts w:hint="eastAsia" w:ascii="仿宋_GB2312" w:hAnsi="仿宋_GB2312" w:eastAsia="仿宋_GB2312" w:cs="仿宋_GB2312"/>
          <w:color w:val="auto"/>
          <w:sz w:val="32"/>
          <w:szCs w:val="32"/>
          <w:shd w:val="clear" w:color="auto" w:fill="FFFFFF"/>
          <w:lang w:val="en-US" w:eastAsia="zh-CN"/>
        </w:rPr>
        <w:t>42.62</w:t>
      </w:r>
      <w:r>
        <w:rPr>
          <w:rFonts w:hint="eastAsia" w:ascii="仿宋_GB2312" w:hAnsi="仿宋_GB2312" w:eastAsia="仿宋_GB2312" w:cs="仿宋_GB2312"/>
          <w:color w:val="auto"/>
          <w:sz w:val="32"/>
          <w:szCs w:val="32"/>
          <w:shd w:val="clear" w:color="auto" w:fill="FFFFFF"/>
        </w:rPr>
        <w:t>万元，在建工程</w:t>
      </w:r>
      <w:r>
        <w:rPr>
          <w:rFonts w:hint="eastAsia" w:ascii="仿宋_GB2312" w:hAnsi="仿宋_GB2312" w:eastAsia="仿宋_GB2312" w:cs="仿宋_GB2312"/>
          <w:color w:val="auto"/>
          <w:sz w:val="32"/>
          <w:szCs w:val="32"/>
          <w:shd w:val="clear" w:color="auto" w:fill="FFFFFF"/>
          <w:lang w:val="en-US" w:eastAsia="zh-CN"/>
        </w:rPr>
        <w:t>无</w:t>
      </w:r>
      <w:r>
        <w:rPr>
          <w:rFonts w:hint="eastAsia" w:ascii="仿宋_GB2312" w:hAnsi="仿宋_GB2312" w:eastAsia="仿宋_GB2312" w:cs="仿宋_GB2312"/>
          <w:color w:val="auto"/>
          <w:sz w:val="32"/>
          <w:szCs w:val="32"/>
          <w:shd w:val="clear" w:color="auto" w:fill="FFFFFF"/>
        </w:rPr>
        <w:t>，无形资产</w:t>
      </w:r>
      <w:r>
        <w:rPr>
          <w:rFonts w:hint="eastAsia" w:ascii="仿宋_GB2312" w:hAnsi="仿宋_GB2312" w:eastAsia="仿宋_GB2312" w:cs="仿宋_GB2312"/>
          <w:color w:val="auto"/>
          <w:sz w:val="32"/>
          <w:szCs w:val="32"/>
          <w:shd w:val="clear" w:color="auto" w:fill="FFFFFF"/>
          <w:lang w:val="en-US" w:eastAsia="zh-CN"/>
        </w:rPr>
        <w:t>无</w:t>
      </w:r>
      <w:r>
        <w:rPr>
          <w:rFonts w:hint="eastAsia" w:ascii="仿宋_GB2312" w:hAnsi="仿宋_GB2312" w:eastAsia="仿宋_GB2312" w:cs="仿宋_GB2312"/>
          <w:color w:val="auto"/>
          <w:sz w:val="32"/>
          <w:szCs w:val="32"/>
          <w:shd w:val="clear" w:color="auto" w:fill="FFFFFF"/>
          <w:lang w:eastAsia="zh-CN"/>
        </w:rPr>
        <w:t>。</w:t>
      </w:r>
      <w:r>
        <w:rPr>
          <w:rFonts w:hint="eastAsia" w:ascii="仿宋_GB2312" w:hAnsi="仿宋_GB2312" w:eastAsia="仿宋_GB2312" w:cs="仿宋_GB2312"/>
          <w:color w:val="auto"/>
          <w:sz w:val="32"/>
          <w:szCs w:val="32"/>
          <w:shd w:val="clear" w:color="auto" w:fill="FFFFFF"/>
        </w:rPr>
        <w:t>固定资产当中，房屋构筑物</w:t>
      </w:r>
      <w:r>
        <w:rPr>
          <w:rFonts w:hint="eastAsia" w:ascii="仿宋_GB2312" w:hAnsi="仿宋_GB2312" w:eastAsia="仿宋_GB2312" w:cs="仿宋_GB2312"/>
          <w:color w:val="auto"/>
          <w:sz w:val="32"/>
          <w:szCs w:val="32"/>
          <w:shd w:val="clear" w:color="auto" w:fill="FFFFFF"/>
          <w:lang w:val="en-US" w:eastAsia="zh-CN"/>
        </w:rPr>
        <w:t>19.39</w:t>
      </w:r>
      <w:r>
        <w:rPr>
          <w:rFonts w:hint="eastAsia" w:ascii="仿宋_GB2312" w:hAnsi="仿宋_GB2312" w:eastAsia="仿宋_GB2312" w:cs="仿宋_GB2312"/>
          <w:color w:val="auto"/>
          <w:sz w:val="32"/>
          <w:szCs w:val="32"/>
          <w:shd w:val="clear" w:color="auto" w:fill="FFFFFF"/>
        </w:rPr>
        <w:t>万元，汽车</w:t>
      </w:r>
      <w:r>
        <w:rPr>
          <w:rFonts w:hint="eastAsia" w:ascii="仿宋_GB2312" w:hAnsi="仿宋_GB2312" w:eastAsia="仿宋_GB2312" w:cs="仿宋_GB2312"/>
          <w:color w:val="auto"/>
          <w:sz w:val="32"/>
          <w:szCs w:val="32"/>
          <w:shd w:val="clear" w:color="auto" w:fill="FFFFFF"/>
          <w:lang w:val="en-US" w:eastAsia="zh-CN"/>
        </w:rPr>
        <w:t>无</w:t>
      </w:r>
      <w:r>
        <w:rPr>
          <w:rFonts w:hint="eastAsia" w:ascii="仿宋_GB2312" w:hAnsi="仿宋_GB2312" w:eastAsia="仿宋_GB2312" w:cs="仿宋_GB2312"/>
          <w:color w:val="auto"/>
          <w:sz w:val="32"/>
          <w:szCs w:val="32"/>
          <w:shd w:val="clear" w:color="auto" w:fill="FFFFFF"/>
        </w:rPr>
        <w:t>，单价200万元以上大型设备价值</w:t>
      </w:r>
      <w:r>
        <w:rPr>
          <w:rFonts w:hint="eastAsia" w:ascii="仿宋_GB2312" w:hAnsi="仿宋_GB2312" w:eastAsia="仿宋_GB2312" w:cs="仿宋_GB2312"/>
          <w:color w:val="auto"/>
          <w:sz w:val="32"/>
          <w:szCs w:val="32"/>
          <w:shd w:val="clear" w:color="auto" w:fill="FFFFFF"/>
          <w:lang w:val="en-US" w:eastAsia="zh-CN"/>
        </w:rPr>
        <w:t>无</w:t>
      </w:r>
      <w:r>
        <w:rPr>
          <w:rFonts w:hint="eastAsia" w:ascii="仿宋_GB2312" w:hAnsi="仿宋_GB2312" w:eastAsia="仿宋_GB2312" w:cs="仿宋_GB2312"/>
          <w:color w:val="auto"/>
          <w:sz w:val="32"/>
          <w:szCs w:val="32"/>
          <w:shd w:val="clear" w:color="auto" w:fill="FFFFFF"/>
        </w:rPr>
        <w:t>，其他固定资产</w:t>
      </w:r>
      <w:r>
        <w:rPr>
          <w:rFonts w:hint="eastAsia" w:ascii="仿宋_GB2312" w:hAnsi="仿宋_GB2312" w:eastAsia="仿宋_GB2312" w:cs="仿宋_GB2312"/>
          <w:color w:val="auto"/>
          <w:sz w:val="32"/>
          <w:szCs w:val="32"/>
          <w:shd w:val="clear" w:color="auto" w:fill="FFFFFF"/>
          <w:lang w:val="en-US" w:eastAsia="zh-CN"/>
        </w:rPr>
        <w:t>23.23</w:t>
      </w:r>
      <w:r>
        <w:rPr>
          <w:rFonts w:hint="eastAsia" w:ascii="仿宋_GB2312" w:hAnsi="仿宋_GB2312" w:eastAsia="仿宋_GB2312" w:cs="仿宋_GB2312"/>
          <w:color w:val="auto"/>
          <w:sz w:val="32"/>
          <w:szCs w:val="32"/>
          <w:shd w:val="clear" w:color="auto" w:fill="FFFFFF"/>
        </w:rPr>
        <w:t>万元。 </w:t>
      </w:r>
    </w:p>
    <w:p>
      <w:pPr>
        <w:pStyle w:val="5"/>
        <w:keepNext w:val="0"/>
        <w:keepLines w:val="0"/>
        <w:widowControl/>
        <w:suppressLineNumbers w:val="0"/>
        <w:spacing w:before="150" w:beforeAutospacing="0" w:after="150" w:afterAutospacing="0" w:line="465" w:lineRule="atLeast"/>
        <w:ind w:left="0" w:right="0" w:firstLine="555"/>
        <w:jc w:val="both"/>
        <w:rPr>
          <w:rFonts w:hint="eastAsia" w:ascii="楷体" w:hAnsi="楷体" w:eastAsia="楷体" w:cstheme="minorEastAsia"/>
          <w:b w:val="0"/>
          <w:bCs/>
          <w:sz w:val="32"/>
          <w:szCs w:val="32"/>
          <w:lang w:val="en-US" w:eastAsia="zh-CN"/>
        </w:rPr>
      </w:pPr>
      <w:r>
        <w:rPr>
          <w:rFonts w:hint="eastAsia" w:ascii="仿宋_GB2312" w:hAnsi="仿宋_GB2312" w:eastAsia="仿宋_GB2312" w:cs="仿宋_GB2312"/>
          <w:color w:val="auto"/>
          <w:sz w:val="32"/>
          <w:szCs w:val="32"/>
          <w:shd w:val="clear" w:color="auto" w:fill="FFFFFF"/>
        </w:rPr>
        <w:t>与上年相比，本年资产总额</w:t>
      </w:r>
      <w:r>
        <w:rPr>
          <w:rFonts w:hint="eastAsia" w:ascii="仿宋_GB2312" w:hAnsi="仿宋_GB2312" w:eastAsia="仿宋_GB2312" w:cs="仿宋_GB2312"/>
          <w:color w:val="auto"/>
          <w:sz w:val="32"/>
          <w:szCs w:val="32"/>
          <w:shd w:val="clear" w:color="auto" w:fill="FFFFFF"/>
          <w:lang w:eastAsia="zh-CN"/>
        </w:rPr>
        <w:t>减少</w:t>
      </w:r>
      <w:r>
        <w:rPr>
          <w:rFonts w:hint="eastAsia" w:ascii="仿宋_GB2312" w:hAnsi="仿宋_GB2312" w:eastAsia="仿宋_GB2312" w:cs="仿宋_GB2312"/>
          <w:color w:val="auto"/>
          <w:sz w:val="32"/>
          <w:szCs w:val="32"/>
          <w:shd w:val="clear" w:color="auto" w:fill="FFFFFF"/>
          <w:lang w:val="en-US" w:eastAsia="zh-CN"/>
        </w:rPr>
        <w:t>86.99</w:t>
      </w:r>
      <w:r>
        <w:rPr>
          <w:rFonts w:hint="eastAsia" w:ascii="仿宋_GB2312" w:hAnsi="仿宋_GB2312" w:eastAsia="仿宋_GB2312" w:cs="仿宋_GB2312"/>
          <w:color w:val="auto"/>
          <w:sz w:val="32"/>
          <w:szCs w:val="32"/>
          <w:shd w:val="clear" w:color="auto" w:fill="FFFFFF"/>
        </w:rPr>
        <w:t>万元。 </w:t>
      </w:r>
    </w:p>
    <w:p>
      <w:pPr>
        <w:ind w:firstLine="640" w:firstLineChars="20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八、重点项目预算的绩效目标等预算绩效情况说明</w:t>
      </w:r>
    </w:p>
    <w:p>
      <w:pPr>
        <w:pStyle w:val="5"/>
        <w:shd w:val="clear" w:color="auto" w:fill="FFFFFF"/>
        <w:spacing w:before="0" w:beforeAutospacing="0" w:after="0" w:afterAutospacing="0" w:line="403" w:lineRule="atLeast"/>
        <w:ind w:firstLine="640" w:firstLineChars="200"/>
        <w:rPr>
          <w:rFonts w:hint="default" w:ascii="楷体" w:hAnsi="楷体" w:eastAsia="楷体" w:cstheme="minorEastAsia"/>
          <w:b w:val="0"/>
          <w:bCs/>
          <w:sz w:val="32"/>
          <w:szCs w:val="32"/>
          <w:lang w:val="en-US" w:eastAsia="zh-CN"/>
        </w:rPr>
      </w:pPr>
      <w:r>
        <w:rPr>
          <w:rFonts w:hint="eastAsia" w:ascii="仿宋_GB2312" w:hAnsi="仿宋_GB2312" w:eastAsia="仿宋_GB2312" w:cs="仿宋_GB2312"/>
          <w:sz w:val="32"/>
          <w:szCs w:val="32"/>
          <w:lang w:val="en-US" w:eastAsia="zh-CN"/>
        </w:rPr>
        <w:t>我单位本年度项目支出397.19万元，其中：重点项目支出100万元，系新建屠宰场项目，该项目</w:t>
      </w:r>
      <w:r>
        <w:rPr>
          <w:rFonts w:hint="eastAsia" w:ascii="仿宋_GB2312" w:hAnsi="仿宋_GB2312" w:eastAsia="仿宋_GB2312" w:cs="仿宋_GB2312"/>
          <w:sz w:val="30"/>
          <w:szCs w:val="30"/>
        </w:rPr>
        <w:t>基础建设工程以及室外土建工程基本完</w:t>
      </w:r>
      <w:r>
        <w:rPr>
          <w:rFonts w:hint="eastAsia" w:ascii="仿宋_GB2312" w:hAnsi="仿宋_GB2312" w:eastAsia="仿宋_GB2312" w:cs="仿宋_GB2312"/>
          <w:sz w:val="30"/>
          <w:szCs w:val="30"/>
          <w:lang w:eastAsia="zh-CN"/>
        </w:rPr>
        <w:t>工，开始</w:t>
      </w:r>
      <w:r>
        <w:rPr>
          <w:rFonts w:hint="eastAsia" w:ascii="仿宋_GB2312" w:hAnsi="仿宋_GB2312" w:eastAsia="仿宋_GB2312" w:cs="仿宋_GB2312"/>
          <w:sz w:val="30"/>
          <w:szCs w:val="30"/>
        </w:rPr>
        <w:t>安装屠宰设备</w:t>
      </w:r>
      <w:r>
        <w:rPr>
          <w:rFonts w:hint="eastAsia" w:ascii="仿宋_GB2312" w:hAnsi="仿宋_GB2312" w:eastAsia="仿宋_GB2312" w:cs="仿宋_GB2312"/>
          <w:sz w:val="32"/>
          <w:szCs w:val="32"/>
          <w:lang w:val="en-US" w:eastAsia="zh-CN"/>
        </w:rPr>
        <w:t>，执行绩效是促进当地肉类定点屠宰实现标准化，满足消费者需求，让人民群众真正吃上“放心肉”。</w:t>
      </w:r>
    </w:p>
    <w:p>
      <w:pPr>
        <w:ind w:firstLine="640" w:firstLineChars="200"/>
        <w:rPr>
          <w:rFonts w:hint="eastAsia" w:ascii="黑体" w:hAnsi="黑体" w:eastAsia="黑体" w:cs="黑体"/>
          <w:b w:val="0"/>
          <w:bCs/>
          <w:sz w:val="32"/>
          <w:szCs w:val="32"/>
          <w:lang w:eastAsia="zh-CN"/>
        </w:rPr>
      </w:pPr>
      <w:r>
        <w:rPr>
          <w:rFonts w:hint="eastAsia" w:ascii="黑体" w:hAnsi="黑体" w:eastAsia="黑体" w:cs="黑体"/>
          <w:b w:val="0"/>
          <w:bCs/>
          <w:sz w:val="32"/>
          <w:szCs w:val="32"/>
          <w:lang w:val="en-US" w:eastAsia="zh-CN"/>
        </w:rPr>
        <w:t>九、</w:t>
      </w:r>
      <w:r>
        <w:rPr>
          <w:rFonts w:hint="eastAsia" w:ascii="黑体" w:hAnsi="黑体" w:eastAsia="黑体" w:cs="黑体"/>
          <w:b w:val="0"/>
          <w:bCs/>
          <w:sz w:val="32"/>
          <w:szCs w:val="32"/>
        </w:rPr>
        <w:t>一般公共预算“三公”经费支出</w:t>
      </w:r>
      <w:r>
        <w:rPr>
          <w:rFonts w:hint="eastAsia" w:ascii="黑体" w:hAnsi="黑体" w:eastAsia="黑体" w:cs="黑体"/>
          <w:b w:val="0"/>
          <w:bCs/>
          <w:sz w:val="32"/>
          <w:szCs w:val="32"/>
          <w:lang w:eastAsia="zh-CN"/>
        </w:rPr>
        <w:t>增减变化原因等说明</w:t>
      </w:r>
    </w:p>
    <w:p>
      <w:p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本部门20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年度一般公共预算“三公”经费预算数为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w:t>
      </w:r>
      <w:r>
        <w:rPr>
          <w:rFonts w:hint="eastAsia" w:ascii="仿宋_GB2312" w:eastAsia="仿宋_GB2312" w:hAnsiTheme="minorEastAsia" w:cstheme="minorEastAsia"/>
          <w:color w:val="000000" w:themeColor="text1"/>
          <w:sz w:val="32"/>
          <w:szCs w:val="32"/>
          <w14:textFill>
            <w14:solidFill>
              <w14:schemeClr w14:val="tx1"/>
            </w14:solidFill>
          </w14:textFill>
        </w:rPr>
        <w:t>%，其中：</w:t>
      </w:r>
    </w:p>
    <w:p>
      <w:pPr>
        <w:numPr>
          <w:ilvl w:val="0"/>
          <w:numId w:val="1"/>
        </w:numPr>
        <w:ind w:firstLine="640" w:firstLineChars="200"/>
        <w:rPr>
          <w:rFonts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因公出国（境）支出年初预算数为0万元，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因公出国（境）团组数为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0，人数为0。</w:t>
      </w:r>
      <w:r>
        <w:rPr>
          <w:rFonts w:hint="eastAsia" w:ascii="仿宋_GB2312" w:eastAsia="仿宋_GB2312" w:hAnsiTheme="minorEastAsia" w:cstheme="minorEastAsia"/>
          <w:color w:val="000000" w:themeColor="text1"/>
          <w:sz w:val="32"/>
          <w:szCs w:val="32"/>
          <w14:textFill>
            <w14:solidFill>
              <w14:schemeClr w14:val="tx1"/>
            </w14:solidFill>
          </w14:textFill>
        </w:rPr>
        <w:t>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p>
    <w:p>
      <w:pPr>
        <w:keepNext w:val="0"/>
        <w:keepLines w:val="0"/>
        <w:pageBreakBefore w:val="0"/>
        <w:kinsoku/>
        <w:wordWrap/>
        <w:overflowPunct/>
        <w:topLinePunct w:val="0"/>
        <w:autoSpaceDE/>
        <w:autoSpaceDN/>
        <w:bidi w:val="0"/>
        <w:adjustRightInd/>
        <w:snapToGrid/>
        <w:spacing w:line="240" w:lineRule="auto"/>
        <w:ind w:left="0" w:leftChars="0" w:firstLine="640" w:firstLineChars="200"/>
        <w:textAlignment w:val="auto"/>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（二）公务接待费支出年初预算数为</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w:t>
      </w:r>
      <w:r>
        <w:rPr>
          <w:rFonts w:hint="eastAsia" w:ascii="仿宋_GB2312" w:eastAsia="仿宋_GB2312" w:hAnsiTheme="minorEastAsia" w:cstheme="minorEastAsia"/>
          <w:color w:val="000000" w:themeColor="text1"/>
          <w:sz w:val="32"/>
          <w:szCs w:val="32"/>
          <w14:textFill>
            <w14:solidFill>
              <w14:schemeClr w14:val="tx1"/>
            </w14:solidFill>
          </w14:textFill>
        </w:rPr>
        <w:t>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年减少</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 0</w:t>
      </w:r>
      <w:r>
        <w:rPr>
          <w:rFonts w:hint="eastAsia" w:ascii="仿宋_GB2312" w:eastAsia="仿宋_GB2312" w:hAnsiTheme="minorEastAsia" w:cstheme="minorEastAsia"/>
          <w:color w:val="000000" w:themeColor="text1"/>
          <w:sz w:val="32"/>
          <w:szCs w:val="32"/>
          <w14:textFill>
            <w14:solidFill>
              <w14:schemeClr w14:val="tx1"/>
            </w14:solidFill>
          </w14:textFill>
        </w:rPr>
        <w:t>万元，下降</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 xml:space="preserve">0 </w:t>
      </w:r>
      <w:r>
        <w:rPr>
          <w:rFonts w:hint="eastAsia" w:ascii="仿宋_GB2312" w:eastAsia="仿宋_GB2312" w:hAnsiTheme="minorEastAsia" w:cstheme="minorEastAsia"/>
          <w:color w:val="000000" w:themeColor="text1"/>
          <w:sz w:val="32"/>
          <w:szCs w:val="32"/>
          <w14:textFill>
            <w14:solidFill>
              <w14:schemeClr w14:val="tx1"/>
            </w14:solidFill>
          </w14:textFill>
        </w:rPr>
        <w:t>%。主要原因是：</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本单位本年度无此项预算，无此项说明。</w:t>
      </w:r>
    </w:p>
    <w:p>
      <w:pPr>
        <w:ind w:firstLine="640" w:firstLineChars="200"/>
        <w:rPr>
          <w:rFonts w:hint="default" w:ascii="仿宋_GB2312" w:eastAsia="仿宋_GB2312" w:hAnsiTheme="minorEastAsia" w:cstheme="minorEastAsia"/>
          <w:color w:val="000000" w:themeColor="text1"/>
          <w:sz w:val="32"/>
          <w:szCs w:val="32"/>
          <w:lang w:val="en-US" w:eastAsia="zh-CN"/>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（三）公务用车购置及运行维护费支出0万元，其中公务用车购置年初预算数为0万元，较201</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年增加（减少）0万元，增长（下降）0%；公务用车运行维护费支出年初预算数为0万元，较20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19</w:t>
      </w:r>
      <w:r>
        <w:rPr>
          <w:rFonts w:hint="eastAsia" w:ascii="仿宋_GB2312" w:eastAsia="仿宋_GB2312" w:hAnsiTheme="minorEastAsia" w:cstheme="minorEastAsia"/>
          <w:color w:val="000000" w:themeColor="text1"/>
          <w:sz w:val="32"/>
          <w:szCs w:val="32"/>
          <w14:textFill>
            <w14:solidFill>
              <w14:schemeClr w14:val="tx1"/>
            </w14:solidFill>
          </w14:textFill>
        </w:rPr>
        <w:t>年增加（减少）0万元，增长（下降）0%。</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本年度公务用车购置数</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0辆，公务用车保有量0辆。</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十、政府性基金预算支出预算情况说明</w:t>
      </w:r>
    </w:p>
    <w:p>
      <w:pPr>
        <w:ind w:firstLine="640" w:firstLineChars="200"/>
        <w:rPr>
          <w:rFonts w:hint="eastAsia" w:ascii="仿宋_GB2312" w:eastAsia="仿宋_GB2312" w:hAnsiTheme="minorEastAsia" w:cstheme="minorEastAsia"/>
          <w:color w:val="000000" w:themeColor="text1"/>
          <w:sz w:val="32"/>
          <w:szCs w:val="32"/>
          <w14:textFill>
            <w14:solidFill>
              <w14:schemeClr w14:val="tx1"/>
            </w14:solidFill>
          </w14:textFill>
        </w:rPr>
      </w:pPr>
      <w:r>
        <w:rPr>
          <w:rFonts w:hint="eastAsia" w:ascii="仿宋_GB2312" w:eastAsia="仿宋_GB2312" w:hAnsiTheme="minorEastAsia" w:cstheme="minorEastAsia"/>
          <w:color w:val="000000" w:themeColor="text1"/>
          <w:sz w:val="32"/>
          <w:szCs w:val="32"/>
          <w14:textFill>
            <w14:solidFill>
              <w14:schemeClr w14:val="tx1"/>
            </w14:solidFill>
          </w14:textFill>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hint="eastAsia" w:ascii="仿宋_GB2312" w:eastAsia="仿宋_GB2312" w:hAnsiTheme="minorEastAsia" w:cstheme="minorEastAsia"/>
          <w:color w:val="000000" w:themeColor="text1"/>
          <w:sz w:val="32"/>
          <w:szCs w:val="32"/>
          <w:lang w:eastAsia="zh-CN"/>
          <w14:textFill>
            <w14:solidFill>
              <w14:schemeClr w14:val="tx1"/>
            </w14:solidFill>
          </w14:textFill>
        </w:rPr>
      </w:pP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襄垣县商务中心</w:t>
      </w:r>
      <w:r>
        <w:rPr>
          <w:rFonts w:hint="eastAsia" w:ascii="仿宋_GB2312" w:eastAsia="仿宋_GB2312" w:hAnsiTheme="minorEastAsia" w:cstheme="minorEastAsia"/>
          <w:color w:val="000000" w:themeColor="text1"/>
          <w:sz w:val="32"/>
          <w:szCs w:val="32"/>
          <w14:textFill>
            <w14:solidFill>
              <w14:schemeClr w14:val="tx1"/>
            </w14:solidFill>
          </w14:textFill>
        </w:rPr>
        <w:t>20</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20</w:t>
      </w:r>
      <w:r>
        <w:rPr>
          <w:rFonts w:hint="eastAsia" w:ascii="仿宋_GB2312" w:eastAsia="仿宋_GB2312" w:hAnsiTheme="minorEastAsia" w:cstheme="minorEastAsia"/>
          <w:color w:val="000000" w:themeColor="text1"/>
          <w:sz w:val="32"/>
          <w:szCs w:val="32"/>
          <w14:textFill>
            <w14:solidFill>
              <w14:schemeClr w14:val="tx1"/>
            </w14:solidFill>
          </w14:textFill>
        </w:rPr>
        <w:t>年政府性基金支出预算</w:t>
      </w:r>
      <w:r>
        <w:rPr>
          <w:rFonts w:hint="eastAsia" w:ascii="仿宋_GB2312" w:eastAsia="仿宋_GB2312" w:hAnsiTheme="minorEastAsia" w:cstheme="minorEastAsia"/>
          <w:color w:val="000000" w:themeColor="text1"/>
          <w:sz w:val="32"/>
          <w:szCs w:val="32"/>
          <w:lang w:val="en-US" w:eastAsia="zh-CN"/>
          <w14:textFill>
            <w14:solidFill>
              <w14:schemeClr w14:val="tx1"/>
            </w14:solidFill>
          </w14:textFill>
        </w:rPr>
        <w:t>0</w:t>
      </w:r>
      <w:r>
        <w:rPr>
          <w:rFonts w:hint="eastAsia" w:ascii="仿宋_GB2312" w:eastAsia="仿宋_GB2312" w:hAnsiTheme="minorEastAsia" w:cstheme="minorEastAsia"/>
          <w:color w:val="000000" w:themeColor="text1"/>
          <w:sz w:val="32"/>
          <w:szCs w:val="32"/>
          <w14:textFill>
            <w14:solidFill>
              <w14:schemeClr w14:val="tx1"/>
            </w14:solidFill>
          </w14:textFill>
        </w:rPr>
        <w:t>万元。</w:t>
      </w:r>
      <w:r>
        <w:rPr>
          <w:rFonts w:hint="eastAsia" w:ascii="仿宋_GB2312" w:eastAsia="仿宋_GB2312" w:hAnsiTheme="minorEastAsia" w:cstheme="minorEastAsia"/>
          <w:color w:val="000000" w:themeColor="text1"/>
          <w:sz w:val="32"/>
          <w:szCs w:val="32"/>
          <w:lang w:eastAsia="zh-CN"/>
          <w14:textFill>
            <w14:solidFill>
              <w14:schemeClr w14:val="tx1"/>
            </w14:solidFill>
          </w14:textFill>
        </w:rPr>
        <w:t>本单位本年度无此项预算，无此项说明。</w:t>
      </w: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867C84"/>
    <w:multiLevelType w:val="singleLevel"/>
    <w:tmpl w:val="FF867C8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8E87EB6"/>
    <w:rsid w:val="0001019D"/>
    <w:rsid w:val="0011026C"/>
    <w:rsid w:val="00121209"/>
    <w:rsid w:val="001330DE"/>
    <w:rsid w:val="001C0185"/>
    <w:rsid w:val="002A78F3"/>
    <w:rsid w:val="002B74C9"/>
    <w:rsid w:val="003343CB"/>
    <w:rsid w:val="00356142"/>
    <w:rsid w:val="00481790"/>
    <w:rsid w:val="005F2480"/>
    <w:rsid w:val="00643BE9"/>
    <w:rsid w:val="00696E76"/>
    <w:rsid w:val="00751A1A"/>
    <w:rsid w:val="00760ADC"/>
    <w:rsid w:val="007634B0"/>
    <w:rsid w:val="00835152"/>
    <w:rsid w:val="008524E1"/>
    <w:rsid w:val="008934C9"/>
    <w:rsid w:val="008C542A"/>
    <w:rsid w:val="008D5CA9"/>
    <w:rsid w:val="009436C0"/>
    <w:rsid w:val="009B6471"/>
    <w:rsid w:val="00A61D97"/>
    <w:rsid w:val="00B84099"/>
    <w:rsid w:val="00BD7E57"/>
    <w:rsid w:val="00C91007"/>
    <w:rsid w:val="00CC30DB"/>
    <w:rsid w:val="00CF14FA"/>
    <w:rsid w:val="00D25442"/>
    <w:rsid w:val="00E74F60"/>
    <w:rsid w:val="014A06B6"/>
    <w:rsid w:val="01742A72"/>
    <w:rsid w:val="01DA336E"/>
    <w:rsid w:val="05E42E29"/>
    <w:rsid w:val="061E09E3"/>
    <w:rsid w:val="06A43BA7"/>
    <w:rsid w:val="087A6196"/>
    <w:rsid w:val="0C5A5250"/>
    <w:rsid w:val="0C64513E"/>
    <w:rsid w:val="0DE649EC"/>
    <w:rsid w:val="0EE25EB1"/>
    <w:rsid w:val="10CB3E8D"/>
    <w:rsid w:val="11F35FF2"/>
    <w:rsid w:val="179A58B8"/>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DA55DAD"/>
    <w:rsid w:val="3F5C42DA"/>
    <w:rsid w:val="40122EE7"/>
    <w:rsid w:val="43E475B8"/>
    <w:rsid w:val="458B37F5"/>
    <w:rsid w:val="467D2DBE"/>
    <w:rsid w:val="48832669"/>
    <w:rsid w:val="48E87EB6"/>
    <w:rsid w:val="4A4F3891"/>
    <w:rsid w:val="4AFA4BB2"/>
    <w:rsid w:val="4D9B3CEE"/>
    <w:rsid w:val="4EBA5260"/>
    <w:rsid w:val="522F50B0"/>
    <w:rsid w:val="52567629"/>
    <w:rsid w:val="539857F2"/>
    <w:rsid w:val="582B68F4"/>
    <w:rsid w:val="5D083F24"/>
    <w:rsid w:val="5D306324"/>
    <w:rsid w:val="5E0B45F3"/>
    <w:rsid w:val="60860A87"/>
    <w:rsid w:val="60B46440"/>
    <w:rsid w:val="61C6166E"/>
    <w:rsid w:val="635C762A"/>
    <w:rsid w:val="6B0B2495"/>
    <w:rsid w:val="6FD93AE0"/>
    <w:rsid w:val="71715484"/>
    <w:rsid w:val="71FC58C7"/>
    <w:rsid w:val="7249546B"/>
    <w:rsid w:val="729F0AAD"/>
    <w:rsid w:val="75F45C0F"/>
    <w:rsid w:val="7C701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Indent 2"/>
    <w:basedOn w:val="1"/>
    <w:qFormat/>
    <w:uiPriority w:val="0"/>
    <w:pPr>
      <w:spacing w:after="120" w:line="480" w:lineRule="auto"/>
      <w:ind w:left="420" w:leftChars="200"/>
    </w:p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8">
    <w:name w:val="Strong"/>
    <w:basedOn w:val="7"/>
    <w:qFormat/>
    <w:uiPriority w:val="0"/>
    <w:rPr>
      <w:b/>
    </w:rPr>
  </w:style>
  <w:style w:type="character" w:customStyle="1" w:styleId="9">
    <w:name w:val="页眉 字符"/>
    <w:basedOn w:val="7"/>
    <w:link w:val="4"/>
    <w:qFormat/>
    <w:uiPriority w:val="0"/>
    <w:rPr>
      <w:rFonts w:asciiTheme="minorHAnsi" w:hAnsiTheme="minorHAnsi" w:eastAsiaTheme="minorEastAsia" w:cstheme="minorBidi"/>
      <w:kern w:val="2"/>
      <w:sz w:val="18"/>
      <w:szCs w:val="18"/>
    </w:rPr>
  </w:style>
  <w:style w:type="character" w:customStyle="1" w:styleId="10">
    <w:name w:val="页脚 字符"/>
    <w:basedOn w:val="7"/>
    <w:link w:val="3"/>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579</Words>
  <Characters>3306</Characters>
  <Lines>27</Lines>
  <Paragraphs>7</Paragraphs>
  <TotalTime>27</TotalTime>
  <ScaleCrop>false</ScaleCrop>
  <LinksUpToDate>false</LinksUpToDate>
  <CharactersWithSpaces>3878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2021-05-21T02:08:00Z</dcterms:created>
  <dc:creator>亚亚</dc:creator>
  <cp:lastModifiedBy>墨熙</cp:lastModifiedBy>
  <cp:lastPrinted>2019-09-11T06:01:00Z</cp:lastPrinted>
  <dcterms:modified xsi:type="dcterms:W3CDTF">2021-06-03T07:10:06Z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F8AC168E0CDC4D6BBB411B7F957A1AF8</vt:lpwstr>
  </property>
</Properties>
</file>