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theme="minorEastAsia"/>
          <w:sz w:val="44"/>
          <w:szCs w:val="44"/>
        </w:rPr>
      </w:pPr>
    </w:p>
    <w:p>
      <w:pPr>
        <w:jc w:val="center"/>
        <w:rPr>
          <w:rFonts w:ascii="黑体" w:hAnsi="黑体" w:eastAsia="黑体" w:cstheme="minorEastAsia"/>
          <w:sz w:val="44"/>
          <w:szCs w:val="44"/>
        </w:rPr>
      </w:pPr>
      <w:r>
        <w:rPr>
          <w:rFonts w:hint="eastAsia" w:ascii="黑体" w:hAnsi="黑体" w:eastAsia="黑体" w:cstheme="minorEastAsia"/>
          <w:sz w:val="44"/>
          <w:szCs w:val="44"/>
        </w:rPr>
        <w:t>襄垣县</w:t>
      </w:r>
      <w:r>
        <w:rPr>
          <w:rFonts w:hint="eastAsia" w:ascii="Arial" w:hAnsi="Arial" w:eastAsia="黑体" w:cs="Arial"/>
          <w:sz w:val="44"/>
          <w:szCs w:val="44"/>
        </w:rPr>
        <w:t>城市综合管理大队</w:t>
      </w:r>
    </w:p>
    <w:p>
      <w:pPr>
        <w:jc w:val="center"/>
        <w:rPr>
          <w:rFonts w:ascii="黑体" w:hAnsi="黑体" w:eastAsia="黑体" w:cstheme="minorEastAsia"/>
          <w:sz w:val="44"/>
          <w:szCs w:val="44"/>
        </w:rPr>
      </w:pPr>
      <w:r>
        <w:rPr>
          <w:rFonts w:hint="eastAsia" w:ascii="黑体" w:hAnsi="黑体" w:eastAsia="黑体" w:cstheme="minorEastAsia"/>
          <w:sz w:val="44"/>
          <w:szCs w:val="44"/>
        </w:rPr>
        <w:t>2020年部门预算公开情况说明</w:t>
      </w:r>
    </w:p>
    <w:p>
      <w:pPr>
        <w:ind w:firstLine="640" w:firstLineChars="200"/>
        <w:rPr>
          <w:rFonts w:asciiTheme="minorEastAsia" w:hAnsiTheme="minorEastAsia" w:cstheme="minorEastAsia"/>
          <w:sz w:val="32"/>
          <w:szCs w:val="32"/>
        </w:rPr>
      </w:pPr>
      <w:r>
        <w:rPr>
          <w:rFonts w:hint="eastAsia" w:asciiTheme="minorEastAsia" w:hAnsiTheme="minorEastAsia" w:cstheme="minorEastAsia"/>
          <w:sz w:val="32"/>
          <w:szCs w:val="32"/>
        </w:rPr>
        <w:t xml:space="preserve"> </w:t>
      </w:r>
    </w:p>
    <w:p>
      <w:pPr>
        <w:ind w:firstLine="643" w:firstLineChars="200"/>
        <w:rPr>
          <w:rFonts w:ascii="楷体" w:hAnsi="楷体" w:eastAsia="楷体" w:cstheme="minorEastAsia"/>
          <w:b/>
          <w:sz w:val="32"/>
          <w:szCs w:val="32"/>
        </w:rPr>
      </w:pPr>
      <w:r>
        <w:rPr>
          <w:rFonts w:hint="eastAsia" w:ascii="楷体" w:hAnsi="楷体" w:eastAsia="楷体" w:cstheme="minorEastAsia"/>
          <w:b/>
          <w:sz w:val="32"/>
          <w:szCs w:val="32"/>
        </w:rPr>
        <w:t>一、部门主要职能</w:t>
      </w:r>
    </w:p>
    <w:p>
      <w:pPr>
        <w:pStyle w:val="4"/>
        <w:widowControl/>
        <w:shd w:val="clear" w:color="auto" w:fill="FFFFFF"/>
        <w:spacing w:before="0" w:beforeAutospacing="0" w:after="0" w:afterAutospacing="0" w:line="600" w:lineRule="atLeast"/>
        <w:ind w:firstLine="640" w:firstLineChars="200"/>
        <w:jc w:val="both"/>
        <w:rPr>
          <w:rFonts w:ascii="仿宋" w:hAnsi="仿宋" w:eastAsia="仿宋" w:cs="仿宋"/>
          <w:color w:val="000000"/>
          <w:sz w:val="32"/>
          <w:szCs w:val="32"/>
        </w:rPr>
      </w:pPr>
      <w:r>
        <w:rPr>
          <w:rFonts w:hint="eastAsia" w:ascii="仿宋" w:hAnsi="仿宋" w:eastAsia="仿宋" w:cs="仿宋"/>
          <w:color w:val="030303"/>
          <w:sz w:val="32"/>
          <w:szCs w:val="32"/>
          <w:shd w:val="clear" w:color="auto" w:fill="FFFFFF"/>
        </w:rPr>
        <w:t>强化县城管理，规范市容秩序。对县城市容环境卫生、市政设施、园林绿化工作进行监察管理；认真督促落实门前六包责任制，有效遏制市容“十乱”行为；对县城临街门店开业庆典活动进行审批。</w:t>
      </w:r>
    </w:p>
    <w:p>
      <w:pPr>
        <w:ind w:firstLine="643" w:firstLineChars="200"/>
        <w:rPr>
          <w:rFonts w:ascii="楷体" w:hAnsi="楷体" w:eastAsia="楷体" w:cstheme="minorEastAsia"/>
          <w:b/>
          <w:sz w:val="32"/>
          <w:szCs w:val="32"/>
        </w:rPr>
      </w:pPr>
      <w:r>
        <w:rPr>
          <w:rFonts w:hint="eastAsia" w:ascii="楷体" w:hAnsi="楷体" w:eastAsia="楷体" w:cstheme="minorEastAsia"/>
          <w:b/>
          <w:sz w:val="32"/>
          <w:szCs w:val="32"/>
        </w:rPr>
        <w:t>二、部门基本情况</w:t>
      </w:r>
    </w:p>
    <w:p>
      <w:pPr>
        <w:widowControl/>
        <w:spacing w:line="324" w:lineRule="atLeast"/>
        <w:ind w:left="540"/>
        <w:jc w:val="left"/>
        <w:rPr>
          <w:rFonts w:ascii="仿宋_GB2312" w:hAnsi="楷体" w:eastAsia="仿宋_GB2312" w:cs="宋体"/>
          <w:bCs/>
          <w:color w:val="333333"/>
          <w:kern w:val="0"/>
          <w:sz w:val="18"/>
          <w:szCs w:val="18"/>
        </w:rPr>
      </w:pPr>
      <w:r>
        <w:rPr>
          <w:rFonts w:hint="eastAsia" w:ascii="仿宋_GB2312" w:hAnsi="楷体" w:eastAsia="仿宋_GB2312" w:cs="宋体"/>
          <w:bCs/>
          <w:color w:val="333333"/>
          <w:kern w:val="0"/>
          <w:sz w:val="32"/>
          <w:szCs w:val="32"/>
        </w:rPr>
        <w:t>（一）机构设置情况</w:t>
      </w:r>
    </w:p>
    <w:p>
      <w:pPr>
        <w:ind w:firstLine="645"/>
        <w:rPr>
          <w:rFonts w:hint="eastAsia" w:ascii="仿宋" w:hAnsi="仿宋" w:eastAsia="仿宋" w:cs="仿宋_GB2312"/>
          <w:sz w:val="30"/>
          <w:szCs w:val="30"/>
        </w:rPr>
      </w:pPr>
      <w:r>
        <w:rPr>
          <w:rFonts w:hint="eastAsia" w:ascii="仿宋" w:hAnsi="仿宋" w:eastAsia="仿宋" w:cs="仿宋_GB2312"/>
          <w:sz w:val="30"/>
          <w:szCs w:val="30"/>
        </w:rPr>
        <w:t>根据上述职责，县城市综合管理大队内设一室六队，即综合办公室，四个路街监管中队，一个夜巡中队，一个违建市容稽查中队。</w:t>
      </w:r>
    </w:p>
    <w:p>
      <w:pPr>
        <w:ind w:firstLine="600" w:firstLineChars="200"/>
        <w:rPr>
          <w:rFonts w:hint="eastAsia" w:ascii="仿宋" w:hAnsi="仿宋" w:eastAsia="仿宋" w:cs="仿宋_GB2312"/>
          <w:sz w:val="30"/>
          <w:szCs w:val="30"/>
        </w:rPr>
      </w:pPr>
      <w:r>
        <w:rPr>
          <w:rFonts w:hint="eastAsia" w:ascii="仿宋" w:hAnsi="仿宋" w:eastAsia="仿宋" w:cs="仿宋_GB2312"/>
          <w:sz w:val="30"/>
          <w:szCs w:val="30"/>
        </w:rPr>
        <w:t>1.办公室（含财务室）</w:t>
      </w:r>
    </w:p>
    <w:p>
      <w:pPr>
        <w:ind w:firstLine="600" w:firstLineChars="200"/>
        <w:rPr>
          <w:rFonts w:hint="eastAsia" w:ascii="仿宋" w:hAnsi="仿宋" w:eastAsia="仿宋" w:cs="仿宋_GB2312"/>
          <w:sz w:val="30"/>
          <w:szCs w:val="30"/>
        </w:rPr>
      </w:pPr>
      <w:r>
        <w:rPr>
          <w:rFonts w:hint="eastAsia" w:ascii="仿宋" w:hAnsi="仿宋" w:eastAsia="仿宋" w:cs="仿宋_GB2312"/>
          <w:sz w:val="30"/>
          <w:szCs w:val="30"/>
        </w:rPr>
        <w:t>（1）做好上级来文来函收发，收集各类数据、资料、报表；</w:t>
      </w:r>
    </w:p>
    <w:p>
      <w:pPr>
        <w:ind w:firstLine="600" w:firstLineChars="200"/>
        <w:rPr>
          <w:rFonts w:hint="eastAsia" w:ascii="仿宋" w:hAnsi="仿宋" w:eastAsia="仿宋" w:cs="仿宋_GB2312"/>
          <w:sz w:val="30"/>
          <w:szCs w:val="30"/>
        </w:rPr>
      </w:pPr>
      <w:r>
        <w:rPr>
          <w:rFonts w:hint="eastAsia" w:ascii="仿宋" w:hAnsi="仿宋" w:eastAsia="仿宋" w:cs="仿宋_GB2312"/>
          <w:sz w:val="30"/>
          <w:szCs w:val="30"/>
        </w:rPr>
        <w:t>（2）做好办公室值班及来电，来访接处工作；</w:t>
      </w:r>
    </w:p>
    <w:p>
      <w:pPr>
        <w:ind w:firstLine="600" w:firstLineChars="200"/>
        <w:rPr>
          <w:rFonts w:hint="eastAsia" w:ascii="仿宋" w:hAnsi="仿宋" w:eastAsia="仿宋" w:cs="仿宋_GB2312"/>
          <w:sz w:val="30"/>
          <w:szCs w:val="30"/>
        </w:rPr>
      </w:pPr>
      <w:r>
        <w:rPr>
          <w:rFonts w:hint="eastAsia" w:ascii="仿宋" w:hAnsi="仿宋" w:eastAsia="仿宋" w:cs="仿宋_GB2312"/>
          <w:sz w:val="30"/>
          <w:szCs w:val="30"/>
        </w:rPr>
        <w:t>（3）做好队部制定的各项制度的落实情况；</w:t>
      </w:r>
    </w:p>
    <w:p>
      <w:pPr>
        <w:ind w:firstLine="600" w:firstLineChars="200"/>
        <w:rPr>
          <w:rFonts w:hint="eastAsia" w:ascii="仿宋" w:hAnsi="仿宋" w:eastAsia="仿宋" w:cs="仿宋_GB2312"/>
          <w:sz w:val="30"/>
          <w:szCs w:val="30"/>
        </w:rPr>
      </w:pPr>
      <w:r>
        <w:rPr>
          <w:rFonts w:hint="eastAsia" w:ascii="仿宋" w:hAnsi="仿宋" w:eastAsia="仿宋" w:cs="仿宋_GB2312"/>
          <w:sz w:val="30"/>
          <w:szCs w:val="30"/>
        </w:rPr>
        <w:t>（4）严格执行财务制度，遵守财经纪律，及时编制会计报表；</w:t>
      </w:r>
    </w:p>
    <w:p>
      <w:pPr>
        <w:ind w:firstLine="600" w:firstLineChars="200"/>
        <w:rPr>
          <w:rFonts w:hint="eastAsia" w:ascii="仿宋" w:hAnsi="仿宋" w:eastAsia="仿宋" w:cs="仿宋_GB2312"/>
          <w:sz w:val="30"/>
          <w:szCs w:val="30"/>
        </w:rPr>
      </w:pPr>
      <w:r>
        <w:rPr>
          <w:rFonts w:hint="eastAsia" w:ascii="仿宋" w:hAnsi="仿宋" w:eastAsia="仿宋" w:cs="仿宋_GB2312"/>
          <w:sz w:val="30"/>
          <w:szCs w:val="30"/>
        </w:rPr>
        <w:t>（5）严格罚没票据管理；</w:t>
      </w:r>
    </w:p>
    <w:p>
      <w:pPr>
        <w:ind w:firstLine="600" w:firstLineChars="200"/>
        <w:rPr>
          <w:rFonts w:hint="eastAsia" w:ascii="仿宋" w:hAnsi="仿宋" w:eastAsia="仿宋" w:cs="仿宋_GB2312"/>
          <w:sz w:val="30"/>
          <w:szCs w:val="30"/>
        </w:rPr>
      </w:pPr>
      <w:r>
        <w:rPr>
          <w:rFonts w:hint="eastAsia" w:ascii="仿宋" w:hAnsi="仿宋" w:eastAsia="仿宋" w:cs="仿宋_GB2312"/>
          <w:sz w:val="30"/>
          <w:szCs w:val="30"/>
        </w:rPr>
        <w:t>（6）对各类账表、票据及现金严加管理；</w:t>
      </w:r>
    </w:p>
    <w:p>
      <w:pPr>
        <w:ind w:firstLine="600" w:firstLineChars="200"/>
        <w:rPr>
          <w:rFonts w:hint="eastAsia" w:ascii="仿宋" w:hAnsi="仿宋" w:eastAsia="仿宋" w:cs="仿宋_GB2312"/>
          <w:sz w:val="30"/>
          <w:szCs w:val="30"/>
        </w:rPr>
      </w:pPr>
      <w:r>
        <w:rPr>
          <w:rFonts w:hint="eastAsia" w:ascii="仿宋" w:hAnsi="仿宋" w:eastAsia="仿宋" w:cs="仿宋_GB2312"/>
          <w:sz w:val="30"/>
          <w:szCs w:val="30"/>
        </w:rPr>
        <w:t>（7）及时完成领导交办的各项事宜。</w:t>
      </w:r>
    </w:p>
    <w:p>
      <w:pPr>
        <w:ind w:firstLine="600" w:firstLineChars="200"/>
        <w:rPr>
          <w:rFonts w:hint="eastAsia" w:ascii="仿宋" w:hAnsi="仿宋" w:eastAsia="仿宋" w:cs="仿宋_GB2312"/>
          <w:sz w:val="30"/>
          <w:szCs w:val="30"/>
        </w:rPr>
      </w:pPr>
      <w:r>
        <w:rPr>
          <w:rFonts w:hint="eastAsia" w:ascii="仿宋" w:hAnsi="仿宋" w:eastAsia="仿宋" w:cs="仿宋_GB2312"/>
          <w:sz w:val="30"/>
          <w:szCs w:val="30"/>
        </w:rPr>
        <w:t>2.路街监管中队及夜巡中队</w:t>
      </w:r>
    </w:p>
    <w:p>
      <w:pPr>
        <w:ind w:firstLine="600" w:firstLineChars="200"/>
        <w:rPr>
          <w:rFonts w:hint="eastAsia" w:ascii="仿宋" w:hAnsi="仿宋" w:eastAsia="仿宋" w:cs="仿宋_GB2312"/>
          <w:sz w:val="30"/>
          <w:szCs w:val="30"/>
        </w:rPr>
      </w:pPr>
      <w:r>
        <w:rPr>
          <w:rFonts w:hint="eastAsia" w:ascii="仿宋" w:hAnsi="仿宋" w:eastAsia="仿宋" w:cs="仿宋_GB2312"/>
          <w:sz w:val="30"/>
          <w:szCs w:val="30"/>
        </w:rPr>
        <w:t>负责对分管路段的市容市貌、市容秩序进行监察管理，禁止县城主干道有店外经营、占道经营等行为，督促落实门前</w:t>
      </w:r>
      <w:r>
        <w:rPr>
          <w:rFonts w:ascii="仿宋" w:hAnsi="仿宋" w:eastAsia="仿宋" w:cs="仿宋_GB2312"/>
          <w:sz w:val="30"/>
          <w:szCs w:val="30"/>
        </w:rPr>
        <w:t>“六包”责任制，有效遏制乱写乱画、乱贴乱挂等“十乱”行为。负责对夜间市政设施、园林绿化的看护不遭破坏，遏制小广告行为，并对中午时段内的重点路段的市容监管。</w:t>
      </w:r>
    </w:p>
    <w:p>
      <w:pPr>
        <w:ind w:firstLine="600" w:firstLineChars="200"/>
        <w:rPr>
          <w:rFonts w:hint="eastAsia" w:ascii="仿宋" w:hAnsi="仿宋" w:eastAsia="仿宋" w:cs="仿宋_GB2312"/>
          <w:sz w:val="30"/>
          <w:szCs w:val="30"/>
        </w:rPr>
      </w:pPr>
      <w:r>
        <w:rPr>
          <w:rFonts w:hint="eastAsia" w:ascii="仿宋" w:hAnsi="仿宋" w:eastAsia="仿宋" w:cs="仿宋_GB2312"/>
          <w:sz w:val="30"/>
          <w:szCs w:val="30"/>
        </w:rPr>
        <w:t>（三）违建市容稽查中队</w:t>
      </w:r>
    </w:p>
    <w:p>
      <w:pPr>
        <w:ind w:firstLine="600" w:firstLineChars="200"/>
        <w:rPr>
          <w:rFonts w:ascii="仿宋" w:hAnsi="仿宋" w:eastAsia="仿宋" w:cs="仿宋_GB2312"/>
          <w:sz w:val="30"/>
          <w:szCs w:val="30"/>
        </w:rPr>
      </w:pPr>
      <w:r>
        <w:rPr>
          <w:rFonts w:hint="eastAsia" w:ascii="仿宋" w:hAnsi="仿宋" w:eastAsia="仿宋" w:cs="仿宋_GB2312"/>
          <w:sz w:val="30"/>
          <w:szCs w:val="30"/>
        </w:rPr>
        <w:t>负责对县城建筑围挡、开口破路、开业庆典、促销等活动的检查、审批、监督管理。</w:t>
      </w:r>
    </w:p>
    <w:p>
      <w:pPr>
        <w:widowControl/>
        <w:spacing w:line="324" w:lineRule="atLeast"/>
        <w:ind w:left="540"/>
        <w:jc w:val="left"/>
        <w:rPr>
          <w:rFonts w:ascii="仿宋_GB2312" w:hAnsi="楷体" w:eastAsia="仿宋_GB2312" w:cs="宋体"/>
          <w:bCs/>
          <w:color w:val="333333"/>
          <w:kern w:val="0"/>
          <w:sz w:val="32"/>
          <w:szCs w:val="32"/>
        </w:rPr>
      </w:pPr>
      <w:r>
        <w:rPr>
          <w:rFonts w:hint="eastAsia" w:ascii="仿宋_GB2312" w:hAnsi="楷体" w:eastAsia="仿宋_GB2312" w:cs="宋体"/>
          <w:bCs/>
          <w:color w:val="333333"/>
          <w:kern w:val="0"/>
          <w:sz w:val="32"/>
          <w:szCs w:val="32"/>
        </w:rPr>
        <w:t>（二）人员情况说明</w:t>
      </w:r>
    </w:p>
    <w:p>
      <w:pPr>
        <w:ind w:firstLine="645"/>
        <w:rPr>
          <w:rFonts w:ascii="仿宋" w:hAnsi="仿宋" w:eastAsia="仿宋" w:cstheme="minorEastAsia"/>
          <w:sz w:val="32"/>
          <w:szCs w:val="32"/>
        </w:rPr>
      </w:pPr>
      <w:r>
        <w:rPr>
          <w:rFonts w:hint="eastAsia" w:ascii="仿宋" w:hAnsi="仿宋" w:eastAsia="仿宋" w:cs="仿宋_GB2312"/>
          <w:sz w:val="32"/>
          <w:szCs w:val="32"/>
        </w:rPr>
        <w:t>现有干部职工80名，其中事业编制10名，其他70名。</w:t>
      </w:r>
    </w:p>
    <w:p>
      <w:pPr>
        <w:ind w:firstLine="643" w:firstLineChars="200"/>
        <w:rPr>
          <w:rFonts w:ascii="楷体" w:hAnsi="楷体" w:eastAsia="楷体" w:cstheme="minorEastAsia"/>
          <w:b/>
          <w:color w:val="C00000"/>
          <w:sz w:val="32"/>
          <w:szCs w:val="32"/>
        </w:rPr>
      </w:pPr>
      <w:r>
        <w:rPr>
          <w:rFonts w:hint="eastAsia" w:ascii="楷体" w:hAnsi="楷体" w:eastAsia="楷体" w:cstheme="minorEastAsia"/>
          <w:b/>
          <w:sz w:val="32"/>
          <w:szCs w:val="32"/>
        </w:rPr>
        <w:t>三、预算收支增减变化情况说明</w:t>
      </w:r>
    </w:p>
    <w:p>
      <w:pPr>
        <w:ind w:firstLine="645"/>
        <w:rPr>
          <w:rFonts w:ascii="仿宋" w:hAnsi="仿宋" w:eastAsia="仿宋" w:cs="仿宋_GB2312"/>
          <w:sz w:val="32"/>
          <w:szCs w:val="32"/>
        </w:rPr>
      </w:pPr>
      <w:r>
        <w:rPr>
          <w:rFonts w:hint="eastAsia" w:ascii="仿宋" w:hAnsi="仿宋" w:eastAsia="仿宋" w:cs="仿宋_GB2312"/>
          <w:sz w:val="32"/>
          <w:szCs w:val="32"/>
        </w:rPr>
        <w:t>襄垣县城市综合管理大队2020年度收入、支出预算总计99.14万元，与上年相比收、支预算总计各增加2.97万元，增长3.3 %。主要原因是人员增加。其中：</w:t>
      </w:r>
    </w:p>
    <w:p>
      <w:pPr>
        <w:ind w:firstLine="645"/>
        <w:rPr>
          <w:rFonts w:ascii="仿宋" w:hAnsi="仿宋" w:eastAsia="仿宋" w:cs="仿宋_GB2312"/>
          <w:sz w:val="32"/>
          <w:szCs w:val="32"/>
        </w:rPr>
      </w:pPr>
      <w:r>
        <w:rPr>
          <w:rFonts w:hint="eastAsia" w:ascii="仿宋" w:hAnsi="仿宋" w:eastAsia="仿宋" w:cs="仿宋_GB2312"/>
          <w:sz w:val="32"/>
          <w:szCs w:val="32"/>
        </w:rPr>
        <w:t>（一）收入预算总计99.14万元。包括：</w:t>
      </w:r>
    </w:p>
    <w:p>
      <w:pPr>
        <w:ind w:firstLine="645"/>
        <w:rPr>
          <w:rFonts w:ascii="仿宋" w:hAnsi="仿宋" w:eastAsia="仿宋" w:cs="仿宋_GB2312"/>
          <w:sz w:val="32"/>
          <w:szCs w:val="32"/>
        </w:rPr>
      </w:pPr>
      <w:r>
        <w:rPr>
          <w:rFonts w:hint="eastAsia" w:ascii="仿宋" w:hAnsi="仿宋" w:eastAsia="仿宋" w:cs="仿宋_GB2312"/>
          <w:sz w:val="32"/>
          <w:szCs w:val="32"/>
        </w:rPr>
        <w:t>1．财政拨款收入预算总计99.14万元。</w:t>
      </w:r>
    </w:p>
    <w:p>
      <w:pPr>
        <w:ind w:firstLine="645"/>
        <w:rPr>
          <w:rFonts w:ascii="仿宋" w:hAnsi="仿宋" w:eastAsia="仿宋" w:cs="仿宋_GB2312"/>
          <w:sz w:val="32"/>
          <w:szCs w:val="32"/>
        </w:rPr>
      </w:pPr>
      <w:r>
        <w:rPr>
          <w:rFonts w:hint="eastAsia" w:ascii="仿宋" w:hAnsi="仿宋" w:eastAsia="仿宋" w:cs="仿宋_GB2312"/>
          <w:sz w:val="32"/>
          <w:szCs w:val="32"/>
        </w:rPr>
        <w:t>（1）一般公共预算收入预算93.03万元，与上年相比增加2.97万元，增长3.3%。主要原因是在编职工工资正常晋升。</w:t>
      </w:r>
    </w:p>
    <w:p>
      <w:pPr>
        <w:ind w:firstLine="645"/>
        <w:rPr>
          <w:rFonts w:ascii="仿宋" w:hAnsi="仿宋" w:eastAsia="仿宋" w:cs="仿宋_GB2312"/>
          <w:sz w:val="32"/>
          <w:szCs w:val="32"/>
        </w:rPr>
      </w:pPr>
      <w:r>
        <w:rPr>
          <w:rFonts w:hint="eastAsia" w:ascii="仿宋" w:hAnsi="仿宋" w:eastAsia="仿宋" w:cs="仿宋_GB2312"/>
          <w:sz w:val="32"/>
          <w:szCs w:val="32"/>
        </w:rPr>
        <w:t>（2）政府性基金收入预算0万元，与上年相比增加（减少）0万元，增长（减少）0%。主要原因是本单位本年度无此项预算，故无此项说明情况。</w:t>
      </w:r>
    </w:p>
    <w:p>
      <w:pPr>
        <w:ind w:firstLine="645"/>
        <w:rPr>
          <w:rFonts w:ascii="仿宋" w:hAnsi="仿宋" w:eastAsia="仿宋" w:cs="仿宋_GB2312"/>
          <w:sz w:val="32"/>
          <w:szCs w:val="32"/>
        </w:rPr>
      </w:pPr>
      <w:r>
        <w:rPr>
          <w:rFonts w:hint="eastAsia" w:ascii="仿宋" w:hAnsi="仿宋" w:eastAsia="仿宋" w:cs="仿宋_GB2312"/>
          <w:sz w:val="32"/>
          <w:szCs w:val="32"/>
        </w:rPr>
        <w:t>2．财政专户管理资金收入预算总计0万元。与上年相比增加（减少）0万元，增长（减少）0%。主要原因是本单位本年度无此项预算，故无此项说明情况。</w:t>
      </w:r>
    </w:p>
    <w:p>
      <w:pPr>
        <w:ind w:firstLine="645"/>
        <w:rPr>
          <w:rFonts w:ascii="仿宋" w:hAnsi="仿宋" w:eastAsia="仿宋" w:cs="仿宋_GB2312"/>
          <w:sz w:val="32"/>
          <w:szCs w:val="32"/>
        </w:rPr>
      </w:pPr>
      <w:r>
        <w:rPr>
          <w:rFonts w:hint="eastAsia" w:ascii="仿宋" w:hAnsi="仿宋" w:eastAsia="仿宋" w:cs="仿宋_GB2312"/>
          <w:sz w:val="32"/>
          <w:szCs w:val="32"/>
        </w:rPr>
        <w:t>3．其他资金收入预算总计0万元。与上年相比增加（减少）0万元，增长（减少）0%。主要原因是本单位本年度无此项预算，故无此项说明情况。</w:t>
      </w:r>
    </w:p>
    <w:p>
      <w:pPr>
        <w:ind w:firstLine="645"/>
        <w:rPr>
          <w:rFonts w:ascii="仿宋" w:hAnsi="仿宋" w:eastAsia="仿宋" w:cs="仿宋_GB2312"/>
          <w:sz w:val="32"/>
          <w:szCs w:val="32"/>
        </w:rPr>
      </w:pPr>
      <w:r>
        <w:rPr>
          <w:rFonts w:hint="eastAsia" w:ascii="仿宋" w:hAnsi="仿宋" w:eastAsia="仿宋" w:cs="仿宋_GB2312"/>
          <w:sz w:val="32"/>
          <w:szCs w:val="32"/>
        </w:rPr>
        <w:t>4．上年结转资金预算数为6.11万元。与上年相比减少2万元，减少0.25%。主要原因是其他交通费用增加。</w:t>
      </w:r>
    </w:p>
    <w:p>
      <w:pPr>
        <w:ind w:firstLine="645"/>
        <w:rPr>
          <w:rFonts w:ascii="仿宋" w:hAnsi="仿宋" w:eastAsia="仿宋" w:cs="仿宋_GB2312"/>
          <w:sz w:val="32"/>
          <w:szCs w:val="32"/>
        </w:rPr>
      </w:pPr>
      <w:r>
        <w:rPr>
          <w:rFonts w:hint="eastAsia" w:ascii="仿宋" w:hAnsi="仿宋" w:eastAsia="仿宋" w:cs="仿宋_GB2312"/>
          <w:sz w:val="32"/>
          <w:szCs w:val="32"/>
        </w:rPr>
        <w:t>（二）支出预算总计99.14万元。包括：</w:t>
      </w:r>
    </w:p>
    <w:p>
      <w:pPr>
        <w:ind w:firstLine="645"/>
        <w:rPr>
          <w:rFonts w:ascii="仿宋" w:hAnsi="仿宋" w:eastAsia="仿宋" w:cs="仿宋_GB2312"/>
          <w:sz w:val="32"/>
          <w:szCs w:val="32"/>
        </w:rPr>
      </w:pPr>
      <w:r>
        <w:rPr>
          <w:rFonts w:hint="eastAsia" w:ascii="仿宋" w:hAnsi="仿宋" w:eastAsia="仿宋" w:cs="仿宋_GB2312"/>
          <w:sz w:val="32"/>
          <w:szCs w:val="32"/>
        </w:rPr>
        <w:t>1．一般公共服务（类）支出93.03万元，主要用于人员工资。与上年相比增加2.97万元，增长3.3%。主要原因是在编职工工资正常晋升。</w:t>
      </w:r>
    </w:p>
    <w:p>
      <w:pPr>
        <w:ind w:firstLine="645"/>
        <w:rPr>
          <w:rFonts w:ascii="仿宋" w:hAnsi="仿宋" w:eastAsia="仿宋" w:cs="仿宋_GB2312"/>
          <w:sz w:val="32"/>
          <w:szCs w:val="32"/>
        </w:rPr>
      </w:pPr>
      <w:r>
        <w:rPr>
          <w:rFonts w:hint="eastAsia" w:ascii="仿宋" w:hAnsi="仿宋" w:eastAsia="仿宋" w:cs="仿宋_GB2312"/>
          <w:sz w:val="32"/>
          <w:szCs w:val="32"/>
        </w:rPr>
        <w:t>2．公共安全（类）支出0万元。与上年相比增加（减少）0万元，增长（减少）0%。主要原因是本单位本年度无此项预算，故无此项说明情况。</w:t>
      </w:r>
    </w:p>
    <w:p>
      <w:pPr>
        <w:ind w:firstLine="645"/>
        <w:rPr>
          <w:rFonts w:ascii="仿宋" w:hAnsi="仿宋" w:eastAsia="仿宋" w:cs="仿宋_GB2312"/>
          <w:sz w:val="32"/>
          <w:szCs w:val="32"/>
        </w:rPr>
      </w:pPr>
      <w:r>
        <w:rPr>
          <w:rFonts w:hint="eastAsia" w:ascii="仿宋" w:hAnsi="仿宋" w:eastAsia="仿宋" w:cs="仿宋_GB2312"/>
          <w:sz w:val="32"/>
          <w:szCs w:val="32"/>
        </w:rPr>
        <w:t>3．结转下年资金预算数为6.11万元。主要原因是减少了支出。</w:t>
      </w:r>
    </w:p>
    <w:p>
      <w:pPr>
        <w:ind w:firstLine="645"/>
        <w:rPr>
          <w:rFonts w:ascii="仿宋" w:hAnsi="仿宋" w:eastAsia="仿宋" w:cs="仿宋_GB2312"/>
          <w:sz w:val="32"/>
          <w:szCs w:val="32"/>
        </w:rPr>
      </w:pPr>
      <w:r>
        <w:rPr>
          <w:rFonts w:hint="eastAsia" w:ascii="仿宋" w:hAnsi="仿宋" w:eastAsia="仿宋" w:cs="仿宋_GB2312"/>
          <w:sz w:val="32"/>
          <w:szCs w:val="32"/>
        </w:rPr>
        <w:t>此外，基本支出预算数为93.03万元。与上年相比增加2.97万元，增长3.3%。主要原因是在编职工工资正常晋升。</w:t>
      </w:r>
    </w:p>
    <w:p>
      <w:pPr>
        <w:ind w:firstLine="645"/>
        <w:rPr>
          <w:rFonts w:ascii="仿宋" w:hAnsi="仿宋" w:eastAsia="仿宋" w:cs="仿宋_GB2312"/>
          <w:sz w:val="32"/>
          <w:szCs w:val="32"/>
        </w:rPr>
      </w:pPr>
      <w:r>
        <w:rPr>
          <w:rFonts w:hint="eastAsia" w:ascii="仿宋" w:hAnsi="仿宋" w:eastAsia="仿宋" w:cs="仿宋_GB2312"/>
          <w:sz w:val="32"/>
          <w:szCs w:val="32"/>
        </w:rPr>
        <w:t>项目支出预算数为0万元。与上年相比增加（减少）0万元，增长（减少）0%。主要原因是本单位本年度无此项预算，故无此项说明情况。</w:t>
      </w:r>
    </w:p>
    <w:p>
      <w:pPr>
        <w:ind w:firstLine="645"/>
        <w:rPr>
          <w:rFonts w:ascii="仿宋" w:hAnsi="仿宋" w:eastAsia="仿宋" w:cs="仿宋_GB2312"/>
          <w:sz w:val="32"/>
          <w:szCs w:val="32"/>
        </w:rPr>
      </w:pPr>
      <w:r>
        <w:rPr>
          <w:rFonts w:hint="eastAsia" w:ascii="仿宋" w:hAnsi="仿宋" w:eastAsia="仿宋" w:cs="仿宋_GB2312"/>
          <w:sz w:val="32"/>
          <w:szCs w:val="32"/>
        </w:rPr>
        <w:t>单位预留机动经费预算数为0万元。与上年相比增加（减少）0万元，增长（减少）0%。主要原因是本单位本年度无此项预算，故无此项说明情况。</w:t>
      </w:r>
    </w:p>
    <w:p>
      <w:pPr>
        <w:ind w:firstLine="643" w:firstLineChars="200"/>
        <w:rPr>
          <w:rFonts w:ascii="楷体" w:hAnsi="楷体" w:eastAsia="楷体" w:cstheme="minorEastAsia"/>
          <w:b/>
          <w:bCs/>
          <w:sz w:val="32"/>
          <w:szCs w:val="32"/>
        </w:rPr>
      </w:pPr>
      <w:r>
        <w:rPr>
          <w:rFonts w:hint="eastAsia" w:ascii="楷体" w:hAnsi="楷体" w:eastAsia="楷体" w:cstheme="minorEastAsia"/>
          <w:b/>
          <w:bCs/>
          <w:sz w:val="32"/>
          <w:szCs w:val="32"/>
        </w:rPr>
        <w:t>四、机关运行经费安排情况说明</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本单位机关运行经费支出预算数为89万元，较2019年增加39.17万元，其中：办公费支出4万元、印刷费支出4万元、其他交通费用10万元、其他商品和服务支出11.77万元等。</w:t>
      </w:r>
    </w:p>
    <w:p>
      <w:pPr>
        <w:ind w:firstLine="643" w:firstLineChars="200"/>
        <w:rPr>
          <w:rFonts w:ascii="楷体" w:hAnsi="楷体" w:eastAsia="楷体" w:cstheme="minorEastAsia"/>
          <w:b/>
          <w:bCs/>
          <w:sz w:val="32"/>
          <w:szCs w:val="32"/>
        </w:rPr>
      </w:pPr>
      <w:r>
        <w:rPr>
          <w:rFonts w:hint="eastAsia" w:ascii="楷体" w:hAnsi="楷体" w:eastAsia="楷体" w:cstheme="minorEastAsia"/>
          <w:b/>
          <w:sz w:val="32"/>
          <w:szCs w:val="32"/>
        </w:rPr>
        <w:t>五、</w:t>
      </w:r>
      <w:r>
        <w:rPr>
          <w:rFonts w:hint="eastAsia" w:ascii="楷体" w:hAnsi="楷体" w:eastAsia="楷体" w:cstheme="minorEastAsia"/>
          <w:b/>
          <w:bCs/>
          <w:sz w:val="32"/>
          <w:szCs w:val="32"/>
        </w:rPr>
        <w:t>政府采购安排情况说明</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本部门2020年度政府采购安排0万元，其中：政府采购货物支出0万元、政府采购工程支出0万元、政府采购服务支出0万元。授予中小企业合同金额0万元，占政府采购支出总额的0%。主要原因是本单位本年度无此项预算，故无此项说明情况。</w:t>
      </w:r>
    </w:p>
    <w:p>
      <w:pPr>
        <w:ind w:firstLine="643" w:firstLineChars="200"/>
        <w:rPr>
          <w:rFonts w:ascii="楷体" w:hAnsi="楷体" w:eastAsia="楷体" w:cstheme="minorEastAsia"/>
          <w:b/>
          <w:bCs/>
          <w:sz w:val="32"/>
          <w:szCs w:val="32"/>
        </w:rPr>
      </w:pPr>
      <w:r>
        <w:rPr>
          <w:rFonts w:hint="eastAsia" w:ascii="楷体" w:hAnsi="楷体" w:eastAsia="楷体" w:cstheme="minorEastAsia"/>
          <w:b/>
          <w:bCs/>
          <w:sz w:val="32"/>
          <w:szCs w:val="32"/>
        </w:rPr>
        <w:t>六、对专业性较强的名词进行解释</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（一）财政拨款收入：指单位本年度从本级财政部门取得的财政拨款，包括一般公共预算财政拨款和政府性基金预算财政拨款。</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（二）上级补助收入：指事业单位从主管部门和上级单位取得的非财政补助收入。</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 xml:space="preserve">（三）事业收入：指事业单位开展专业业务活动及其辅助活动取得的收入；事业单位收到的财政专户实际核拨的教育收费等资金在此反映。 </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（四）经营收入：指事业单位在专业业务活动及其辅助活动之外开展非独立核算经营活动取得的收入。</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（五）附属单位缴款：指事业单位附属独立核算单位按照有关规定上缴的收入。</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 xml:space="preserve">（六）其他收入：指单位取得的除上述“财政拨款收入”、“事业收入”、“经营收入”、“附属单位缴款”等以外的各项收入。 </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 xml:space="preserve">（七）用事业基金弥补收支差额：指事业单位用事业基金弥补当年收支差额的数额。 </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 xml:space="preserve">（八）年初结转和结余：指单位上年结转本年使用的基本支出结转、项目支出结转和结余和经营结余。 </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 xml:space="preserve">（九）结余分配：指事业单位按规定对非财政补助结余资金提取的职工福利基金、事业基金和缴纳的所得税，以及减少单位按规定应缴回的基本建设竣工项目结余资金。 </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（十）年末结转和结余资金：指单位结转下年的基本支出结转、项目支出结转和结余和经营结余。</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 xml:space="preserve">（十一）基本支出：指为保障机构正常运转、完成日常工作任务而发生的人员支出和公用支出。 </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 xml:space="preserve">（十二）项目支出：指在基本支出之外为完成特定的行政任务或事业发展目标所发生的支出。 </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（十三）上缴上级支出：指事业单位按照财政部门和主管部门的规定上缴上级单位的支出。</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（十四）经营支出：指事业单位在专业业务活动及其辅助活动之外开展非独立核算经营活动发生的支出。</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（十五）对附属单位补助支出：指事业单位用财政补助收入之外的收入对附属单位补助发生的支出。</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 xml:space="preserve">（十六）“三公”经费：指各部门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十七）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p>
    <w:p>
      <w:pPr>
        <w:ind w:firstLine="643" w:firstLineChars="200"/>
        <w:rPr>
          <w:rFonts w:ascii="楷体" w:hAnsi="楷体" w:eastAsia="楷体" w:cstheme="minorEastAsia"/>
          <w:b/>
          <w:bCs/>
          <w:sz w:val="32"/>
          <w:szCs w:val="32"/>
        </w:rPr>
      </w:pPr>
      <w:r>
        <w:rPr>
          <w:rFonts w:hint="eastAsia" w:ascii="楷体" w:hAnsi="楷体" w:eastAsia="楷体" w:cstheme="minorEastAsia"/>
          <w:b/>
          <w:bCs/>
          <w:sz w:val="32"/>
          <w:szCs w:val="32"/>
        </w:rPr>
        <w:t>七、国有资产占用情况说明</w:t>
      </w:r>
    </w:p>
    <w:p>
      <w:pPr>
        <w:pStyle w:val="4"/>
        <w:widowControl/>
        <w:spacing w:beforeAutospacing="0" w:afterAutospacing="0"/>
        <w:ind w:firstLine="640" w:firstLineChars="200"/>
        <w:rPr>
          <w:rFonts w:ascii="仿宋" w:hAnsi="仿宋" w:eastAsia="仿宋" w:cs="仿宋_GB2312"/>
          <w:sz w:val="32"/>
          <w:szCs w:val="32"/>
        </w:rPr>
      </w:pPr>
      <w:r>
        <w:rPr>
          <w:rFonts w:hint="eastAsia" w:ascii="仿宋" w:hAnsi="仿宋" w:eastAsia="仿宋" w:cs="仿宋_GB2312"/>
          <w:sz w:val="32"/>
          <w:szCs w:val="32"/>
        </w:rPr>
        <w:t>截止2019年12月31日，本单位资产总额117.38万元，其中流动资产20.31万元，固定资产96.74万元，在建工程0万元，无形资产0.32万元。固定资产当中，汽车13辆36.17万元，单价200万元以上大型设备价值0万元，其他固定资产60.57万元。</w:t>
      </w:r>
    </w:p>
    <w:p>
      <w:pPr>
        <w:pStyle w:val="4"/>
        <w:widowControl/>
        <w:spacing w:beforeAutospacing="0" w:afterAutospacing="0"/>
        <w:ind w:firstLine="640" w:firstLineChars="200"/>
        <w:rPr>
          <w:rFonts w:ascii="仿宋" w:hAnsi="仿宋" w:eastAsia="仿宋" w:cs="仿宋_GB2312"/>
          <w:sz w:val="32"/>
          <w:szCs w:val="32"/>
        </w:rPr>
      </w:pPr>
      <w:r>
        <w:rPr>
          <w:rFonts w:hint="eastAsia" w:ascii="仿宋" w:hAnsi="仿宋" w:eastAsia="仿宋" w:cs="仿宋_GB2312"/>
          <w:sz w:val="32"/>
          <w:szCs w:val="32"/>
        </w:rPr>
        <w:t>与上年相比，本年资产总额减少9.95万元。</w:t>
      </w:r>
    </w:p>
    <w:p>
      <w:pPr>
        <w:ind w:firstLine="643" w:firstLineChars="200"/>
        <w:rPr>
          <w:rFonts w:ascii="楷体" w:hAnsi="楷体" w:eastAsia="楷体" w:cstheme="minorEastAsia"/>
          <w:b/>
          <w:bCs/>
          <w:sz w:val="32"/>
          <w:szCs w:val="32"/>
        </w:rPr>
      </w:pPr>
      <w:r>
        <w:rPr>
          <w:rFonts w:hint="eastAsia" w:ascii="楷体" w:hAnsi="楷体" w:eastAsia="楷体" w:cstheme="minorEastAsia"/>
          <w:b/>
          <w:bCs/>
          <w:sz w:val="32"/>
          <w:szCs w:val="32"/>
        </w:rPr>
        <w:t>八、重点项目预算的绩效目标等预算绩效情况说明</w:t>
      </w:r>
    </w:p>
    <w:p>
      <w:pPr>
        <w:ind w:firstLine="640" w:firstLineChars="200"/>
        <w:rPr>
          <w:rFonts w:ascii="仿宋" w:hAnsi="仿宋" w:eastAsia="仿宋"/>
          <w:sz w:val="32"/>
          <w:szCs w:val="32"/>
        </w:rPr>
      </w:pPr>
      <w:r>
        <w:rPr>
          <w:rFonts w:hint="eastAsia" w:ascii="仿宋" w:hAnsi="仿宋" w:eastAsia="仿宋"/>
          <w:sz w:val="32"/>
          <w:szCs w:val="32"/>
        </w:rPr>
        <w:t>我单位本年度项目支出369.82万元，其中：重点项目支出349.95万元，该项目是为了维持城市管理工作的日常运转所需经费，该项目已按进度完成。</w:t>
      </w:r>
    </w:p>
    <w:p>
      <w:pPr>
        <w:ind w:firstLine="643" w:firstLineChars="200"/>
        <w:rPr>
          <w:rFonts w:ascii="楷体" w:hAnsi="楷体" w:eastAsia="楷体" w:cstheme="minorEastAsia"/>
          <w:b/>
          <w:bCs/>
          <w:sz w:val="32"/>
          <w:szCs w:val="32"/>
        </w:rPr>
      </w:pPr>
      <w:r>
        <w:rPr>
          <w:rFonts w:hint="eastAsia" w:ascii="楷体" w:hAnsi="楷体" w:eastAsia="楷体" w:cstheme="minorEastAsia"/>
          <w:b/>
          <w:bCs/>
          <w:sz w:val="32"/>
          <w:szCs w:val="32"/>
        </w:rPr>
        <w:t>九、一般公共预算“三公”经费支出增减变化原因等说明</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本部门2020年度一般公共预算“三公”经费预算数为0万元，较2019年减少0万元，下降0%，其中：</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因公出国（境）支出年初预算数为0万元，因公出国（境）团组数为0，人数为0。较2018年增加（减少）0万元，增长（下降）0%。</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　　（二）公务接待费支出年初预算数为0万元，较2018年减少0万元，下降0%。本年度国内公务接待共0批次，共0人。</w:t>
      </w:r>
    </w:p>
    <w:p>
      <w:pPr>
        <w:ind w:firstLine="640" w:firstLineChars="200"/>
        <w:rPr>
          <w:rFonts w:hint="eastAsia" w:ascii="仿宋" w:hAnsi="仿宋" w:eastAsia="仿宋" w:cstheme="minorEastAsia"/>
          <w:sz w:val="32"/>
          <w:szCs w:val="32"/>
        </w:rPr>
      </w:pPr>
      <w:r>
        <w:rPr>
          <w:rFonts w:hint="eastAsia" w:ascii="仿宋" w:hAnsi="仿宋" w:eastAsia="仿宋" w:cstheme="minorEastAsia"/>
          <w:sz w:val="32"/>
          <w:szCs w:val="32"/>
        </w:rPr>
        <w:t>（三）公务用车购置及运行维护费支出0万元，其中公务用车购置年初预算数为0万元，较2018年增加（减少）0万元，增长（下降）0%；公务用车运行维护费支出年初预算数为0万元，较2018年增加（减少）0万元，增长（下降）0%。本年度公务用车购置数0辆，公务用车保有量0辆。</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主要原因是本单位本年度无此项预算，故无此项说明情况。</w:t>
      </w:r>
    </w:p>
    <w:p>
      <w:pPr>
        <w:ind w:firstLine="643" w:firstLineChars="200"/>
        <w:rPr>
          <w:rFonts w:ascii="楷体" w:hAnsi="楷体" w:eastAsia="楷体" w:cs="楷体"/>
          <w:b/>
          <w:sz w:val="32"/>
          <w:szCs w:val="32"/>
        </w:rPr>
      </w:pPr>
      <w:r>
        <w:rPr>
          <w:rFonts w:hint="eastAsia" w:ascii="楷体" w:hAnsi="楷体" w:eastAsia="楷体" w:cs="楷体"/>
          <w:b/>
          <w:sz w:val="32"/>
          <w:szCs w:val="32"/>
        </w:rPr>
        <w:t>十、政府性基金预算支出预算情况说明</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（反映部门年度政府性基金支出预算安排情况。政府性基金支出安排数应与《部门收支预算总表》的政府性基金收入数一致，并按照政府收支分类科目的功能分类“项”级细化列示。）</w:t>
      </w:r>
    </w:p>
    <w:p>
      <w:pPr>
        <w:ind w:firstLine="640" w:firstLineChars="200"/>
        <w:rPr>
          <w:rFonts w:ascii="仿宋" w:hAnsi="仿宋" w:eastAsia="仿宋" w:cstheme="minorEastAsia"/>
          <w:sz w:val="32"/>
          <w:szCs w:val="32"/>
        </w:rPr>
      </w:pPr>
      <w:r>
        <w:rPr>
          <w:rFonts w:hint="eastAsia" w:ascii="仿宋" w:hAnsi="仿宋" w:eastAsia="仿宋" w:cstheme="minorEastAsia"/>
          <w:sz w:val="32"/>
          <w:szCs w:val="32"/>
        </w:rPr>
        <w:t>襄垣县城市综合管理大队2020年政府性基金支出预算为0万元。主要原因是本单位本年度无此项预算，故无此项说明情况。</w:t>
      </w:r>
    </w:p>
    <w:p>
      <w:pPr>
        <w:ind w:firstLine="640" w:firstLineChars="200"/>
        <w:rPr>
          <w:rFonts w:ascii="仿宋_GB2312" w:eastAsia="仿宋_GB2312" w:hAnsiTheme="minorEastAsia" w:cstheme="minorEastAsia"/>
          <w:color w:val="5B9BD5" w:themeColor="accent1"/>
          <w:sz w:val="32"/>
          <w:szCs w:val="32"/>
        </w:rPr>
      </w:pPr>
      <w:bookmarkStart w:id="0" w:name="_GoBack"/>
      <w:bookmarkEnd w:id="0"/>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p>
      <w:pPr>
        <w:ind w:firstLine="640" w:firstLineChars="200"/>
        <w:rPr>
          <w:rFonts w:asciiTheme="minorEastAsia" w:hAnsiTheme="minorEastAsia" w:cstheme="minorEastAsia"/>
          <w:sz w:val="32"/>
          <w:szCs w:val="32"/>
        </w:rPr>
      </w:pPr>
    </w:p>
    <w:sectPr>
      <w:pgSz w:w="11906" w:h="16838"/>
      <w:pgMar w:top="1440" w:right="1800" w:bottom="1440" w:left="1800" w:header="851" w:footer="992" w:gutter="0"/>
      <w:pgNumType w:fmt="upperRoman"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48E87EB6"/>
    <w:rsid w:val="00000F59"/>
    <w:rsid w:val="00003C45"/>
    <w:rsid w:val="0001019D"/>
    <w:rsid w:val="00015D78"/>
    <w:rsid w:val="00025FF5"/>
    <w:rsid w:val="0005048E"/>
    <w:rsid w:val="000A462A"/>
    <w:rsid w:val="0011026C"/>
    <w:rsid w:val="00115F12"/>
    <w:rsid w:val="00121209"/>
    <w:rsid w:val="001330DE"/>
    <w:rsid w:val="00190907"/>
    <w:rsid w:val="001C0185"/>
    <w:rsid w:val="001F0984"/>
    <w:rsid w:val="00266B80"/>
    <w:rsid w:val="002A78F3"/>
    <w:rsid w:val="002B5E46"/>
    <w:rsid w:val="002B74C9"/>
    <w:rsid w:val="003340D9"/>
    <w:rsid w:val="003343CB"/>
    <w:rsid w:val="00356142"/>
    <w:rsid w:val="003B3467"/>
    <w:rsid w:val="00402317"/>
    <w:rsid w:val="00412FD0"/>
    <w:rsid w:val="00420A3C"/>
    <w:rsid w:val="00481790"/>
    <w:rsid w:val="004A641B"/>
    <w:rsid w:val="004B4407"/>
    <w:rsid w:val="00564D39"/>
    <w:rsid w:val="005654B1"/>
    <w:rsid w:val="00584CD9"/>
    <w:rsid w:val="005A0051"/>
    <w:rsid w:val="005B4F66"/>
    <w:rsid w:val="005F2480"/>
    <w:rsid w:val="00624824"/>
    <w:rsid w:val="00643BE9"/>
    <w:rsid w:val="00696E76"/>
    <w:rsid w:val="006D543F"/>
    <w:rsid w:val="00751A1A"/>
    <w:rsid w:val="00754487"/>
    <w:rsid w:val="00760ADC"/>
    <w:rsid w:val="007634B0"/>
    <w:rsid w:val="007814ED"/>
    <w:rsid w:val="007B2851"/>
    <w:rsid w:val="00835152"/>
    <w:rsid w:val="008524E1"/>
    <w:rsid w:val="008678F4"/>
    <w:rsid w:val="008934C9"/>
    <w:rsid w:val="008C542A"/>
    <w:rsid w:val="008D18E9"/>
    <w:rsid w:val="008D5CA9"/>
    <w:rsid w:val="00900EC7"/>
    <w:rsid w:val="00904CC4"/>
    <w:rsid w:val="009075EF"/>
    <w:rsid w:val="00927596"/>
    <w:rsid w:val="009436C0"/>
    <w:rsid w:val="00957247"/>
    <w:rsid w:val="009B6471"/>
    <w:rsid w:val="00A225E0"/>
    <w:rsid w:val="00A310B9"/>
    <w:rsid w:val="00A61D97"/>
    <w:rsid w:val="00B84099"/>
    <w:rsid w:val="00BD7E57"/>
    <w:rsid w:val="00C136BF"/>
    <w:rsid w:val="00C551D3"/>
    <w:rsid w:val="00C91007"/>
    <w:rsid w:val="00CC30DB"/>
    <w:rsid w:val="00CC7673"/>
    <w:rsid w:val="00CF14FA"/>
    <w:rsid w:val="00D25442"/>
    <w:rsid w:val="00D30F04"/>
    <w:rsid w:val="00D5743D"/>
    <w:rsid w:val="00DA1EBC"/>
    <w:rsid w:val="00DB7F17"/>
    <w:rsid w:val="00E74F60"/>
    <w:rsid w:val="00F457C0"/>
    <w:rsid w:val="00FB4282"/>
    <w:rsid w:val="00FF1DB1"/>
    <w:rsid w:val="014A06B6"/>
    <w:rsid w:val="01742A72"/>
    <w:rsid w:val="01DA336E"/>
    <w:rsid w:val="05E42E29"/>
    <w:rsid w:val="061E09E3"/>
    <w:rsid w:val="06A43BA7"/>
    <w:rsid w:val="087A6196"/>
    <w:rsid w:val="0C5A5250"/>
    <w:rsid w:val="0C64513E"/>
    <w:rsid w:val="0DE649EC"/>
    <w:rsid w:val="0EE25EB1"/>
    <w:rsid w:val="10CB3E8D"/>
    <w:rsid w:val="11F35FF2"/>
    <w:rsid w:val="179A58B8"/>
    <w:rsid w:val="1B270397"/>
    <w:rsid w:val="1B4A6025"/>
    <w:rsid w:val="1DF453AF"/>
    <w:rsid w:val="1E107510"/>
    <w:rsid w:val="1E643EFE"/>
    <w:rsid w:val="209E0EC3"/>
    <w:rsid w:val="22140CC1"/>
    <w:rsid w:val="24D63713"/>
    <w:rsid w:val="2A937DAC"/>
    <w:rsid w:val="2DB60033"/>
    <w:rsid w:val="2F754CA8"/>
    <w:rsid w:val="2FB928F6"/>
    <w:rsid w:val="341824CB"/>
    <w:rsid w:val="343F3937"/>
    <w:rsid w:val="34D53928"/>
    <w:rsid w:val="36870474"/>
    <w:rsid w:val="37015ED3"/>
    <w:rsid w:val="39E01B38"/>
    <w:rsid w:val="3F5C42DA"/>
    <w:rsid w:val="43E475B8"/>
    <w:rsid w:val="458B37F5"/>
    <w:rsid w:val="467D2DBE"/>
    <w:rsid w:val="48832669"/>
    <w:rsid w:val="48E87EB6"/>
    <w:rsid w:val="4A4F3891"/>
    <w:rsid w:val="4AFA4BB2"/>
    <w:rsid w:val="4D9B3CEE"/>
    <w:rsid w:val="4EBA5260"/>
    <w:rsid w:val="522F50B0"/>
    <w:rsid w:val="52567629"/>
    <w:rsid w:val="582B68F4"/>
    <w:rsid w:val="5D083F24"/>
    <w:rsid w:val="5D306324"/>
    <w:rsid w:val="5E0B45F3"/>
    <w:rsid w:val="60860A87"/>
    <w:rsid w:val="60B46440"/>
    <w:rsid w:val="61C6166E"/>
    <w:rsid w:val="62510B5F"/>
    <w:rsid w:val="635C762A"/>
    <w:rsid w:val="69515290"/>
    <w:rsid w:val="6FD93AE0"/>
    <w:rsid w:val="71715484"/>
    <w:rsid w:val="71FC58C7"/>
    <w:rsid w:val="7249546B"/>
    <w:rsid w:val="729F0AAD"/>
    <w:rsid w:val="75F45C0F"/>
    <w:rsid w:val="7C7014A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qFormat/>
    <w:uiPriority w:val="99"/>
    <w:pPr>
      <w:tabs>
        <w:tab w:val="center" w:pos="4153"/>
        <w:tab w:val="right" w:pos="8306"/>
      </w:tabs>
      <w:snapToGrid w:val="0"/>
      <w:jc w:val="left"/>
    </w:pPr>
    <w:rPr>
      <w:sz w:val="18"/>
      <w:szCs w:val="18"/>
    </w:rPr>
  </w:style>
  <w:style w:type="paragraph" w:styleId="3">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Calibri" w:hAnsi="Calibri" w:eastAsia="宋体" w:cs="Times New Roman"/>
      <w:kern w:val="0"/>
      <w:sz w:val="24"/>
      <w:szCs w:val="20"/>
    </w:rPr>
  </w:style>
  <w:style w:type="character" w:styleId="7">
    <w:name w:val="Strong"/>
    <w:basedOn w:val="6"/>
    <w:qFormat/>
    <w:uiPriority w:val="0"/>
    <w:rPr>
      <w:b/>
    </w:rPr>
  </w:style>
  <w:style w:type="character" w:customStyle="1" w:styleId="8">
    <w:name w:val="页眉 Char"/>
    <w:basedOn w:val="6"/>
    <w:link w:val="3"/>
    <w:qFormat/>
    <w:uiPriority w:val="0"/>
    <w:rPr>
      <w:rFonts w:asciiTheme="minorHAnsi" w:hAnsiTheme="minorHAnsi" w:eastAsiaTheme="minorEastAsia" w:cstheme="minorBidi"/>
      <w:kern w:val="2"/>
      <w:sz w:val="18"/>
      <w:szCs w:val="18"/>
    </w:rPr>
  </w:style>
  <w:style w:type="character" w:customStyle="1" w:styleId="9">
    <w:name w:val="页脚 Char"/>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65FEA0-24F4-4537-AEB8-CE9BAE22201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523</Words>
  <Characters>2983</Characters>
  <Lines>24</Lines>
  <Paragraphs>6</Paragraphs>
  <TotalTime>88</TotalTime>
  <ScaleCrop>false</ScaleCrop>
  <LinksUpToDate>false</LinksUpToDate>
  <CharactersWithSpaces>3500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2021-06-03T07:52:00Z</dcterms:created>
  <dc:creator>亚亚</dc:creator>
  <cp:lastModifiedBy>心路</cp:lastModifiedBy>
  <cp:lastPrinted>2019-09-11T06:01:00Z</cp:lastPrinted>
  <dcterms:modified xsi:type="dcterms:W3CDTF">2021-06-03T11:10:01Z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F8AC168E0CDC4D6BBB411B7F957A1AF8</vt:lpwstr>
  </property>
</Properties>
</file>