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color w:val="auto"/>
          <w:sz w:val="44"/>
          <w:szCs w:val="44"/>
          <w:lang w:eastAsia="zh-CN"/>
        </w:rPr>
      </w:pPr>
    </w:p>
    <w:p>
      <w:pPr>
        <w:jc w:val="center"/>
        <w:rPr>
          <w:rFonts w:hint="eastAsia" w:ascii="Arial" w:hAnsi="Arial" w:eastAsia="黑体" w:cs="Arial"/>
          <w:color w:val="auto"/>
          <w:sz w:val="44"/>
          <w:szCs w:val="44"/>
          <w:lang w:val="en-US" w:eastAsia="zh-CN"/>
        </w:rPr>
      </w:pPr>
      <w:r>
        <w:rPr>
          <w:rFonts w:hint="eastAsia" w:ascii="黑体" w:hAnsi="黑体" w:eastAsia="黑体" w:cstheme="minorEastAsia"/>
          <w:color w:val="auto"/>
          <w:sz w:val="44"/>
          <w:szCs w:val="44"/>
          <w:lang w:eastAsia="zh-CN"/>
        </w:rPr>
        <w:t>襄垣</w:t>
      </w:r>
      <w:r>
        <w:rPr>
          <w:rFonts w:hint="eastAsia" w:ascii="黑体" w:hAnsi="黑体" w:eastAsia="黑体" w:cstheme="minorEastAsia"/>
          <w:color w:val="auto"/>
          <w:sz w:val="44"/>
          <w:szCs w:val="44"/>
        </w:rPr>
        <w:t>县</w:t>
      </w:r>
      <w:r>
        <w:rPr>
          <w:rFonts w:hint="eastAsia" w:ascii="Arial" w:hAnsi="Arial" w:eastAsia="黑体" w:cs="Arial"/>
          <w:color w:val="auto"/>
          <w:sz w:val="44"/>
          <w:szCs w:val="44"/>
          <w:lang w:val="en-US" w:eastAsia="zh-CN"/>
        </w:rPr>
        <w:t>妇女联合会</w:t>
      </w:r>
    </w:p>
    <w:p>
      <w:pPr>
        <w:jc w:val="center"/>
        <w:rPr>
          <w:rFonts w:ascii="黑体" w:hAnsi="黑体" w:eastAsia="黑体" w:cstheme="minorEastAsia"/>
          <w:color w:val="auto"/>
          <w:sz w:val="44"/>
          <w:szCs w:val="44"/>
        </w:rPr>
      </w:pPr>
      <w:r>
        <w:rPr>
          <w:rFonts w:hint="eastAsia" w:ascii="黑体" w:hAnsi="黑体" w:eastAsia="黑体" w:cstheme="minorEastAsia"/>
          <w:color w:val="auto"/>
          <w:sz w:val="44"/>
          <w:szCs w:val="44"/>
        </w:rPr>
        <w:t>20</w:t>
      </w:r>
      <w:r>
        <w:rPr>
          <w:rFonts w:hint="eastAsia" w:ascii="黑体" w:hAnsi="黑体" w:eastAsia="黑体" w:cstheme="minorEastAsia"/>
          <w:color w:val="auto"/>
          <w:sz w:val="44"/>
          <w:szCs w:val="44"/>
          <w:lang w:val="en-US" w:eastAsia="zh-CN"/>
        </w:rPr>
        <w:t>20</w:t>
      </w:r>
      <w:r>
        <w:rPr>
          <w:rFonts w:hint="eastAsia" w:ascii="黑体" w:hAnsi="黑体" w:eastAsia="黑体" w:cstheme="minorEastAsia"/>
          <w:color w:val="auto"/>
          <w:sz w:val="44"/>
          <w:szCs w:val="44"/>
        </w:rPr>
        <w:t>年部门</w:t>
      </w:r>
      <w:r>
        <w:rPr>
          <w:rFonts w:hint="eastAsia" w:ascii="黑体" w:hAnsi="黑体" w:eastAsia="黑体" w:cstheme="minorEastAsia"/>
          <w:color w:val="auto"/>
          <w:sz w:val="44"/>
          <w:szCs w:val="44"/>
          <w:lang w:eastAsia="zh-CN"/>
        </w:rPr>
        <w:t>预算</w:t>
      </w:r>
      <w:r>
        <w:rPr>
          <w:rFonts w:hint="eastAsia" w:ascii="黑体" w:hAnsi="黑体" w:eastAsia="黑体" w:cstheme="minorEastAsia"/>
          <w:color w:val="auto"/>
          <w:sz w:val="44"/>
          <w:szCs w:val="44"/>
        </w:rPr>
        <w:t>公开</w:t>
      </w:r>
      <w:r>
        <w:rPr>
          <w:rFonts w:hint="eastAsia" w:ascii="黑体" w:hAnsi="黑体" w:eastAsia="黑体" w:cstheme="minorEastAsia"/>
          <w:color w:val="auto"/>
          <w:sz w:val="44"/>
          <w:szCs w:val="44"/>
          <w:lang w:eastAsia="zh-CN"/>
        </w:rPr>
        <w:t>情况</w:t>
      </w:r>
      <w:r>
        <w:rPr>
          <w:rFonts w:hint="eastAsia" w:ascii="黑体" w:hAnsi="黑体" w:eastAsia="黑体" w:cstheme="minorEastAsia"/>
          <w:color w:val="auto"/>
          <w:sz w:val="44"/>
          <w:szCs w:val="44"/>
        </w:rPr>
        <w:t>说明</w:t>
      </w:r>
    </w:p>
    <w:p>
      <w:pPr>
        <w:ind w:firstLine="640" w:firstLineChars="200"/>
        <w:rPr>
          <w:rFonts w:asciiTheme="minorEastAsia" w:hAnsiTheme="minorEastAsia" w:cstheme="minorEastAsia"/>
          <w:color w:val="auto"/>
          <w:sz w:val="32"/>
          <w:szCs w:val="32"/>
        </w:rPr>
      </w:pPr>
      <w:r>
        <w:rPr>
          <w:rFonts w:hint="eastAsia" w:asciiTheme="minorEastAsia" w:hAnsiTheme="minorEastAsia" w:cstheme="minorEastAsia"/>
          <w:color w:val="auto"/>
          <w:sz w:val="32"/>
          <w:szCs w:val="32"/>
        </w:rPr>
        <w:t xml:space="preserve"> </w:t>
      </w:r>
    </w:p>
    <w:p>
      <w:pPr>
        <w:ind w:firstLine="643" w:firstLineChars="200"/>
        <w:rPr>
          <w:rFonts w:hint="eastAsia"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一、部门主要职能</w:t>
      </w:r>
    </w:p>
    <w:p>
      <w:pP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襄垣县妇女联合会是在县委、县政府领导下的社会群众团体。负责团结、动员广大妇女参与经济建设和社会发展，引导妇女提高素质，促进妇女人才成长，代表妇女参与民主管理和民主监督，保护妇女合法权益不受侵犯，为妇女发展提供服务，创造条件促进男女平等的实现。</w:t>
      </w:r>
    </w:p>
    <w:p>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主要工作职责：</w:t>
      </w:r>
    </w:p>
    <w:p>
      <w:pPr>
        <w:ind w:firstLine="640" w:firstLineChars="20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1、坚持正确的政治方向，团结教育全县妇女和各类妇女组织同党中央在思想上、政治上、行动上保持高度一致</w:t>
      </w:r>
      <w:r>
        <w:rPr>
          <w:rFonts w:hint="eastAsia" w:ascii="仿宋" w:hAnsi="仿宋" w:eastAsia="仿宋" w:cs="仿宋"/>
          <w:color w:val="auto"/>
          <w:sz w:val="32"/>
          <w:szCs w:val="32"/>
          <w:lang w:val="en-US" w:eastAsia="zh-CN"/>
        </w:rPr>
        <w:t>。</w:t>
      </w:r>
    </w:p>
    <w:p>
      <w:pPr>
        <w:ind w:firstLine="640" w:firstLineChars="20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2、团结、动员妇女投身改革开放和经济建设、政治建设、社会建设、文化建设和生态建设，促进社会全面进步</w:t>
      </w:r>
      <w:r>
        <w:rPr>
          <w:rFonts w:hint="eastAsia" w:ascii="仿宋" w:hAnsi="仿宋" w:eastAsia="仿宋" w:cs="仿宋"/>
          <w:color w:val="auto"/>
          <w:sz w:val="32"/>
          <w:szCs w:val="32"/>
          <w:lang w:val="en-US" w:eastAsia="zh-CN"/>
        </w:rPr>
        <w:t>。</w:t>
      </w:r>
    </w:p>
    <w:p>
      <w:pPr>
        <w:ind w:firstLine="640" w:firstLineChars="20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3、教育、引导广大妇女，增强自尊、自信、自立、自强的精神，全面提高素质，促进妇女人才成长</w:t>
      </w:r>
      <w:r>
        <w:rPr>
          <w:rFonts w:hint="eastAsia" w:ascii="仿宋" w:hAnsi="仿宋" w:eastAsia="仿宋" w:cs="仿宋"/>
          <w:color w:val="auto"/>
          <w:sz w:val="32"/>
          <w:szCs w:val="32"/>
          <w:lang w:val="en-US" w:eastAsia="zh-CN"/>
        </w:rPr>
        <w:t>。</w:t>
      </w:r>
    </w:p>
    <w:p>
      <w:pPr>
        <w:ind w:firstLine="640" w:firstLineChars="20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4、代表妇女参与国家和社会事务的民主管理、民主监督，维护妇女儿童合法权益；督促检查有关保护妇女儿童合法权益法律法规的贯彻执行情况</w:t>
      </w:r>
      <w:r>
        <w:rPr>
          <w:rFonts w:hint="eastAsia" w:ascii="仿宋" w:hAnsi="仿宋" w:eastAsia="仿宋" w:cs="仿宋"/>
          <w:color w:val="auto"/>
          <w:sz w:val="32"/>
          <w:szCs w:val="32"/>
          <w:lang w:val="en-US" w:eastAsia="zh-CN"/>
        </w:rPr>
        <w:t>。</w:t>
      </w:r>
    </w:p>
    <w:p>
      <w:pPr>
        <w:ind w:firstLine="640" w:firstLineChars="20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5、为妇女儿童服务。加强与社会各界的联系，协调和推动社会各界为妇女儿童服务</w:t>
      </w:r>
      <w:r>
        <w:rPr>
          <w:rFonts w:hint="eastAsia" w:ascii="仿宋" w:hAnsi="仿宋" w:eastAsia="仿宋" w:cs="仿宋"/>
          <w:color w:val="auto"/>
          <w:sz w:val="32"/>
          <w:szCs w:val="32"/>
          <w:lang w:val="en-US" w:eastAsia="zh-CN"/>
        </w:rPr>
        <w:t>。</w:t>
      </w:r>
    </w:p>
    <w:p>
      <w:pPr>
        <w:ind w:firstLine="640" w:firstLineChars="20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6、巩固扩大与各界妇女的团结，加强与各界妇女的联系，配合做好妇女统战工作</w:t>
      </w:r>
      <w:r>
        <w:rPr>
          <w:rFonts w:hint="eastAsia" w:ascii="仿宋" w:hAnsi="仿宋" w:eastAsia="仿宋" w:cs="仿宋"/>
          <w:color w:val="auto"/>
          <w:sz w:val="32"/>
          <w:szCs w:val="32"/>
          <w:lang w:val="en-US" w:eastAsia="zh-CN"/>
        </w:rPr>
        <w:t>。</w:t>
      </w:r>
    </w:p>
    <w:p>
      <w:pPr>
        <w:ind w:firstLine="640" w:firstLineChars="20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7、承担县人民政府妇女儿童工作委员会的日常工作</w:t>
      </w:r>
      <w:r>
        <w:rPr>
          <w:rFonts w:hint="eastAsia" w:ascii="仿宋" w:hAnsi="仿宋" w:eastAsia="仿宋" w:cs="仿宋"/>
          <w:color w:val="auto"/>
          <w:sz w:val="32"/>
          <w:szCs w:val="32"/>
          <w:lang w:val="en-US" w:eastAsia="zh-CN"/>
        </w:rPr>
        <w:t>。</w:t>
      </w:r>
    </w:p>
    <w:p>
      <w:pPr>
        <w:ind w:firstLine="640" w:firstLineChars="200"/>
        <w:rPr>
          <w:rFonts w:hint="eastAsia"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8、承担县委、县政府交办的其他事项</w:t>
      </w:r>
      <w:r>
        <w:rPr>
          <w:rFonts w:hint="eastAsia" w:ascii="仿宋" w:hAnsi="仿宋" w:eastAsia="仿宋" w:cs="仿宋"/>
          <w:color w:val="auto"/>
          <w:sz w:val="32"/>
          <w:szCs w:val="32"/>
          <w:lang w:val="en-US" w:eastAsia="zh-CN"/>
        </w:rPr>
        <w:t>。</w:t>
      </w:r>
    </w:p>
    <w:p>
      <w:pPr>
        <w:ind w:firstLine="643" w:firstLineChars="200"/>
        <w:rPr>
          <w:rFonts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widowControl/>
        <w:spacing w:line="324" w:lineRule="atLeast"/>
        <w:ind w:left="540"/>
        <w:jc w:val="left"/>
        <w:rPr>
          <w:rFonts w:hint="eastAsia" w:ascii="仿宋_GB2312" w:hAnsi="楷体" w:eastAsia="仿宋_GB2312" w:cs="宋体"/>
          <w:b w:val="0"/>
          <w:bCs/>
          <w:color w:val="auto"/>
          <w:kern w:val="0"/>
          <w:sz w:val="18"/>
          <w:szCs w:val="18"/>
          <w:lang w:eastAsia="zh-CN"/>
        </w:rPr>
      </w:pPr>
      <w:r>
        <w:rPr>
          <w:rFonts w:hint="eastAsia" w:ascii="仿宋_GB2312" w:hAnsi="楷体" w:eastAsia="仿宋_GB2312" w:cs="宋体"/>
          <w:b w:val="0"/>
          <w:bCs/>
          <w:color w:val="auto"/>
          <w:kern w:val="0"/>
          <w:sz w:val="32"/>
          <w:szCs w:val="32"/>
        </w:rPr>
        <w:t>（一）</w:t>
      </w:r>
      <w:r>
        <w:rPr>
          <w:rFonts w:hint="eastAsia" w:ascii="仿宋_GB2312" w:hAnsi="楷体" w:eastAsia="仿宋_GB2312" w:cs="宋体"/>
          <w:b w:val="0"/>
          <w:bCs/>
          <w:color w:val="auto"/>
          <w:kern w:val="0"/>
          <w:sz w:val="32"/>
          <w:szCs w:val="32"/>
          <w:lang w:eastAsia="zh-CN"/>
        </w:rPr>
        <w:t>机构设置情况</w:t>
      </w:r>
    </w:p>
    <w:p>
      <w:pPr>
        <w:numPr>
          <w:ilvl w:val="0"/>
          <w:numId w:val="0"/>
        </w:numPr>
        <w:ind w:firstLine="640" w:firstLineChars="200"/>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rPr>
        <w:t>内设办公室、组织股、宣传股、城乡妇女发展股、妇女儿童权益股、儿童和家庭工作股、妇儿工委办公室。领导班子分工情况：</w:t>
      </w:r>
    </w:p>
    <w:p>
      <w:pPr>
        <w:numPr>
          <w:ilvl w:val="0"/>
          <w:numId w:val="0"/>
        </w:numPr>
        <w:ind w:firstLine="640" w:firstLineChars="200"/>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lang w:val="en-US" w:eastAsia="zh-CN"/>
        </w:rPr>
        <w:t>申秀玲</w:t>
      </w:r>
      <w:r>
        <w:rPr>
          <w:rFonts w:hint="eastAsia" w:ascii="仿宋" w:hAnsi="仿宋" w:eastAsia="仿宋" w:cs="仿宋"/>
          <w:b w:val="0"/>
          <w:bCs/>
          <w:color w:val="auto"/>
          <w:sz w:val="32"/>
          <w:szCs w:val="32"/>
        </w:rPr>
        <w:t>同志:主持县妇联全面工作,负责机关党组和党支部工作；</w:t>
      </w:r>
    </w:p>
    <w:p>
      <w:pPr>
        <w:ind w:firstLine="640" w:firstLineChars="200"/>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rPr>
        <w:t>邢亚丽同志:主管宣传股、儿童和家庭股、妇儿工办工作，分管组织人事、纪检和统战工作；</w:t>
      </w:r>
    </w:p>
    <w:p>
      <w:pPr>
        <w:ind w:firstLine="640" w:firstLineChars="200"/>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rPr>
        <w:t>高飞同志:主管办公室、发展股、财会工作，分管资产管理、文秘信息、机关事务、统计、改革、档案管理等工作;</w:t>
      </w:r>
    </w:p>
    <w:p>
      <w:pPr>
        <w:ind w:firstLine="640" w:firstLineChars="200"/>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rPr>
        <w:t>孙红梅同志：主管权益股和工会工作，分管综合治理、信访维稳、禁毒、扫黑除恶等工作。</w:t>
      </w:r>
    </w:p>
    <w:p>
      <w:pPr>
        <w:rPr>
          <w:rFonts w:ascii="仿宋_GB2312" w:hAnsi="楷体" w:eastAsia="仿宋_GB2312" w:cs="宋体"/>
          <w:b w:val="0"/>
          <w:bCs/>
          <w:color w:val="auto"/>
          <w:kern w:val="0"/>
          <w:sz w:val="32"/>
          <w:szCs w:val="32"/>
        </w:rPr>
      </w:pPr>
      <w:r>
        <w:rPr>
          <w:rFonts w:hint="eastAsia" w:ascii="仿宋" w:hAnsi="仿宋" w:eastAsia="仿宋" w:cs="仿宋_GB2312"/>
          <w:color w:val="auto"/>
          <w:kern w:val="2"/>
          <w:sz w:val="30"/>
          <w:szCs w:val="30"/>
          <w:lang w:val="en-US" w:eastAsia="zh-CN" w:bidi="ar"/>
        </w:rPr>
        <w:t xml:space="preserve">   </w:t>
      </w:r>
      <w:r>
        <w:rPr>
          <w:rFonts w:hint="eastAsia" w:ascii="仿宋_GB2312" w:hAnsi="楷体" w:eastAsia="仿宋_GB2312" w:cs="宋体"/>
          <w:b w:val="0"/>
          <w:bCs/>
          <w:color w:val="auto"/>
          <w:kern w:val="0"/>
          <w:sz w:val="32"/>
          <w:szCs w:val="32"/>
        </w:rPr>
        <w:t>（二）人员情况说明</w:t>
      </w:r>
    </w:p>
    <w:p>
      <w:pPr>
        <w:ind w:firstLine="640" w:firstLineChars="200"/>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现有</w:t>
      </w:r>
      <w:r>
        <w:rPr>
          <w:rFonts w:hint="eastAsia" w:ascii="仿宋" w:hAnsi="仿宋" w:eastAsia="仿宋" w:cs="仿宋"/>
          <w:b w:val="0"/>
          <w:bCs/>
          <w:color w:val="auto"/>
          <w:sz w:val="32"/>
          <w:szCs w:val="32"/>
        </w:rPr>
        <w:t>行政编制5人，实有5人。公益岗2人，见习岗1人，共</w:t>
      </w:r>
      <w:r>
        <w:rPr>
          <w:rFonts w:hint="eastAsia" w:ascii="仿宋" w:hAnsi="仿宋" w:eastAsia="仿宋" w:cs="仿宋"/>
          <w:b w:val="0"/>
          <w:bCs/>
          <w:color w:val="auto"/>
          <w:sz w:val="32"/>
          <w:szCs w:val="32"/>
          <w:lang w:val="en-US" w:eastAsia="zh-CN"/>
        </w:rPr>
        <w:t>8</w:t>
      </w:r>
      <w:r>
        <w:rPr>
          <w:rFonts w:hint="eastAsia" w:ascii="仿宋" w:hAnsi="仿宋" w:eastAsia="仿宋" w:cs="仿宋"/>
          <w:b w:val="0"/>
          <w:bCs/>
          <w:color w:val="auto"/>
          <w:sz w:val="32"/>
          <w:szCs w:val="32"/>
        </w:rPr>
        <w:t>人。</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襄垣县妇女联合会2020年度收入、支出预算总计58.08万元，与上年相比收、支预算总计各增加12.23万元，增长26.67%。主要原因是工资正常增长，各项保险费用增加。其中：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（一）收入预算总计58.08万元。包括：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1．财政拨款收入预算总计58.08万元。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（1）一般公共预算收入预算58.08万元，与上年相比增加12.23万元，增长26.67%。主要原因是工资正常增长等原因。</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auto"/>
          <w:kern w:val="2"/>
          <w:sz w:val="32"/>
          <w:szCs w:val="32"/>
          <w:lang w:val="en-US" w:eastAsia="zh-CN" w:bidi="ar"/>
        </w:rPr>
        <w:t>（2）政府性基金收入预算0万元。</w:t>
      </w: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与上年相比增加（减少）0 万元，增长（减少) 0 %。主要原因是无此项收入。</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2．财政专户管理资金收入预算总计0万元。与上年相比增加（减少）0万元，增长（减少）0%。主要原因是无此项收入。</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3．其他资金收入预算总计0万元。与上年相比增加（减少）0万元，增长（减少）0 %。主要原因是无此项收入。</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4．上年结转资金预算数为0万元。与上年相比增加（减少）0万元，增长（减少）0%。主要原因是无此项收入。</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（二）支出预算总计58.08万元。包括：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1．一般公共服务（类）支出58.08万元，主要用于人员支出、对个人和家庭补助支出、商品和服务支出。与上年相比增加12.23万元，增长26.67%。主要原因是工资正常增长，各项保险费用增加。</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auto"/>
          <w:kern w:val="2"/>
          <w:sz w:val="32"/>
          <w:szCs w:val="32"/>
          <w:lang w:val="en-US" w:eastAsia="zh-CN" w:bidi="ar"/>
        </w:rPr>
        <w:t>2．公共安全（类）支出0万元，</w:t>
      </w: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与上年相比增加（减少）0 万元，增长（减少）0 %。主要原因是无此项预算。</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3．结转下年资金预算数为0万元。主要原因是无此项预算。</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此外，基本支出预算数为58.08万元。与上年相比增加12.23万元，增长26.67%。主要原因是工资正常增长。</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项目支出预算数为0万元。与上年相比增加（减少） 0万元，增长（减少）0 %。主要原因是无此项预算。</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单位预留机动经费预算数为0万元。与上年相比增加（减少）0万元，增长（减少）0%。主要原因是无此项预算。</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7万元，较2019年减少0.25万元，其中：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0.8万元</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val="en-US" w:eastAsia="zh-CN"/>
        </w:rPr>
        <w:t>邮电费支出0.3万元，培训费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0.1万元</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val="en-US" w:eastAsia="zh-CN"/>
        </w:rPr>
        <w:t>劳务费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1.05万元、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0.6万元、其他交通费用3万元</w:t>
      </w:r>
      <w:r>
        <w:rPr>
          <w:rFonts w:hint="eastAsia" w:ascii="仿宋_GB2312" w:eastAsia="仿宋_GB2312" w:hAnsiTheme="minorEastAsia" w:cstheme="minorEastAsia"/>
          <w:color w:val="auto"/>
          <w:sz w:val="32"/>
          <w:szCs w:val="32"/>
        </w:rPr>
        <w:t>等。</w:t>
      </w:r>
      <w:r>
        <w:rPr>
          <w:rFonts w:hint="eastAsia" w:ascii="仿宋_GB2312" w:eastAsia="仿宋_GB2312" w:hAnsiTheme="minorEastAsia" w:cstheme="minorEastAsia"/>
          <w:color w:val="auto"/>
          <w:sz w:val="32"/>
          <w:szCs w:val="32"/>
          <w:lang w:eastAsia="zh-CN"/>
        </w:rPr>
        <w:t>主要增减变化情况：</w:t>
      </w:r>
      <w:r>
        <w:rPr>
          <w:rFonts w:hint="eastAsia" w:ascii="仿宋_GB2312" w:eastAsia="仿宋_GB2312" w:hAnsiTheme="minorEastAsia" w:cstheme="minorEastAsia"/>
          <w:color w:val="auto"/>
          <w:sz w:val="32"/>
          <w:szCs w:val="32"/>
          <w:lang w:val="en-US" w:eastAsia="zh-CN"/>
        </w:rPr>
        <w:t>节约开支减少商品和服务支出。</w:t>
      </w:r>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rPr>
        <w:t>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w:t>
      </w:r>
      <w:r>
        <w:rPr>
          <w:rFonts w:hint="eastAsia" w:ascii="仿宋_GB2312" w:hAnsi="仿宋_GB2312" w:eastAsia="仿宋_GB2312" w:cs="仿宋_GB2312"/>
          <w:color w:val="auto"/>
          <w:sz w:val="32"/>
          <w:szCs w:val="32"/>
          <w:shd w:val="clear" w:color="auto" w:fill="FFFFFF"/>
          <w:lang w:val="en-US" w:eastAsia="zh-CN"/>
        </w:rPr>
        <w:t>19</w:t>
      </w:r>
      <w:r>
        <w:rPr>
          <w:rFonts w:hint="eastAsia" w:ascii="仿宋_GB2312" w:hAnsi="仿宋_GB2312" w:eastAsia="仿宋_GB2312" w:cs="仿宋_GB2312"/>
          <w:color w:val="auto"/>
          <w:sz w:val="32"/>
          <w:szCs w:val="32"/>
          <w:shd w:val="clear" w:color="auto" w:fill="FFFFFF"/>
        </w:rPr>
        <w:t>年12月31日，本单位资产总额</w:t>
      </w:r>
      <w:r>
        <w:rPr>
          <w:rFonts w:hint="eastAsia" w:ascii="仿宋_GB2312" w:hAnsi="仿宋_GB2312" w:eastAsia="仿宋_GB2312" w:cs="仿宋_GB2312"/>
          <w:color w:val="auto"/>
          <w:sz w:val="32"/>
          <w:szCs w:val="32"/>
          <w:shd w:val="clear" w:color="auto" w:fill="FFFFFF"/>
          <w:lang w:val="en-US" w:eastAsia="zh-CN"/>
        </w:rPr>
        <w:t>30.54</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15.43</w:t>
      </w:r>
      <w:r>
        <w:rPr>
          <w:rFonts w:hint="eastAsia" w:ascii="仿宋_GB2312" w:hAnsi="仿宋_GB2312" w:eastAsia="仿宋_GB2312" w:cs="仿宋_GB2312"/>
          <w:color w:val="auto"/>
          <w:sz w:val="32"/>
          <w:szCs w:val="32"/>
          <w:shd w:val="clear" w:color="auto" w:fill="FFFFFF"/>
        </w:rPr>
        <w:t>万元，固定资产净值</w:t>
      </w:r>
      <w:r>
        <w:rPr>
          <w:rFonts w:hint="eastAsia" w:ascii="仿宋_GB2312" w:hAnsi="仿宋_GB2312" w:eastAsia="仿宋_GB2312" w:cs="仿宋_GB2312"/>
          <w:color w:val="auto"/>
          <w:sz w:val="32"/>
          <w:szCs w:val="32"/>
          <w:shd w:val="clear" w:color="auto" w:fill="FFFFFF"/>
          <w:lang w:val="en-US" w:eastAsia="zh-CN"/>
        </w:rPr>
        <w:t>14.77</w:t>
      </w:r>
      <w:r>
        <w:rPr>
          <w:rFonts w:hint="eastAsia" w:ascii="仿宋_GB2312" w:hAnsi="仿宋_GB2312" w:eastAsia="仿宋_GB2312" w:cs="仿宋_GB2312"/>
          <w:color w:val="auto"/>
          <w:sz w:val="32"/>
          <w:szCs w:val="32"/>
          <w:shd w:val="clear" w:color="auto" w:fill="FFFFFF"/>
        </w:rPr>
        <w:t>万元，无形资产0.3</w:t>
      </w:r>
      <w:r>
        <w:rPr>
          <w:rFonts w:hint="eastAsia" w:ascii="仿宋_GB2312" w:hAnsi="仿宋_GB2312" w:eastAsia="仿宋_GB2312" w:cs="仿宋_GB2312"/>
          <w:color w:val="auto"/>
          <w:sz w:val="32"/>
          <w:szCs w:val="32"/>
          <w:shd w:val="clear" w:color="auto" w:fill="FFFFFF"/>
          <w:lang w:val="en-US" w:eastAsia="zh-CN"/>
        </w:rPr>
        <w:t>4</w:t>
      </w:r>
      <w:r>
        <w:rPr>
          <w:rFonts w:hint="eastAsia" w:ascii="仿宋_GB2312" w:hAnsi="仿宋_GB2312" w:eastAsia="仿宋_GB2312" w:cs="仿宋_GB2312"/>
          <w:color w:val="auto"/>
          <w:sz w:val="32"/>
          <w:szCs w:val="32"/>
          <w:shd w:val="clear" w:color="auto" w:fill="FFFFFF"/>
        </w:rPr>
        <w:t>万元。固定资产当中，无房屋构筑物、汽车、单价200万元以上大型设备，其他固定资产</w:t>
      </w:r>
      <w:r>
        <w:rPr>
          <w:rFonts w:hint="eastAsia" w:ascii="仿宋_GB2312" w:hAnsi="仿宋_GB2312" w:eastAsia="仿宋_GB2312" w:cs="仿宋_GB2312"/>
          <w:color w:val="auto"/>
          <w:sz w:val="32"/>
          <w:szCs w:val="32"/>
          <w:shd w:val="clear" w:color="auto" w:fill="FFFFFF"/>
          <w:lang w:val="en-US" w:eastAsia="zh-CN"/>
        </w:rPr>
        <w:t>14.77</w:t>
      </w:r>
      <w:r>
        <w:rPr>
          <w:rFonts w:hint="eastAsia" w:ascii="仿宋_GB2312" w:hAnsi="仿宋_GB2312" w:eastAsia="仿宋_GB2312" w:cs="仿宋_GB2312"/>
          <w:color w:val="auto"/>
          <w:sz w:val="32"/>
          <w:szCs w:val="32"/>
          <w:shd w:val="clear" w:color="auto" w:fill="FFFFFF"/>
        </w:rPr>
        <w:t>万元。 </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与上年相比，本年资产总额减少</w:t>
      </w:r>
      <w:r>
        <w:rPr>
          <w:rFonts w:hint="eastAsia" w:ascii="仿宋_GB2312" w:hAnsi="仿宋_GB2312" w:eastAsia="仿宋_GB2312" w:cs="仿宋_GB2312"/>
          <w:color w:val="auto"/>
          <w:sz w:val="32"/>
          <w:szCs w:val="32"/>
          <w:shd w:val="clear" w:color="auto" w:fill="FFFFFF"/>
          <w:lang w:val="en-US" w:eastAsia="zh-CN"/>
        </w:rPr>
        <w:t>1.08</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本单位本年度无此项预算，故无此项说明。</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0.08</w:t>
      </w:r>
      <w:r>
        <w:rPr>
          <w:rFonts w:hint="eastAsia" w:ascii="仿宋_GB2312" w:eastAsia="仿宋_GB2312" w:hAnsiTheme="minorEastAsia" w:cstheme="minorEastAsia"/>
          <w:color w:val="auto"/>
          <w:sz w:val="32"/>
          <w:szCs w:val="32"/>
        </w:rPr>
        <w:t>万元，较20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0.02</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%，其中：</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年增加（减少）0万元，增长（下降）0%。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0.08</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0.02</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%。主要原因是：</w:t>
      </w:r>
      <w:r>
        <w:rPr>
          <w:rFonts w:hint="eastAsia" w:ascii="仿宋_GB2312" w:eastAsia="仿宋_GB2312" w:hAnsiTheme="minorEastAsia" w:cstheme="minorEastAsia"/>
          <w:color w:val="auto"/>
          <w:sz w:val="32"/>
          <w:szCs w:val="32"/>
          <w:lang w:val="en-US" w:eastAsia="zh-CN"/>
        </w:rPr>
        <w:t>节约开支。</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年增加（减少）0万元，增长（下降）0%；公务用车运行维护费支出年初预算数为0万元，较201</w:t>
      </w:r>
      <w:r>
        <w:rPr>
          <w:rFonts w:hint="eastAsia" w:ascii="仿宋_GB2312" w:eastAsia="仿宋_GB2312" w:hAnsiTheme="minorEastAsia" w:cstheme="minorEastAsia"/>
          <w:color w:val="auto"/>
          <w:sz w:val="32"/>
          <w:szCs w:val="32"/>
          <w:lang w:val="en-US" w:eastAsia="zh-CN"/>
        </w:rPr>
        <w:t>9</w:t>
      </w:r>
      <w:bookmarkStart w:id="0" w:name="_GoBack"/>
      <w:bookmarkEnd w:id="0"/>
      <w:r>
        <w:rPr>
          <w:rFonts w:hint="eastAsia" w:ascii="仿宋_GB2312" w:eastAsia="仿宋_GB2312" w:hAnsiTheme="minorEastAsia" w:cstheme="minorEastAsia"/>
          <w:color w:val="auto"/>
          <w:sz w:val="32"/>
          <w:szCs w:val="32"/>
        </w:rPr>
        <w:t>年增加（减少）0万元，增长（下降）0%。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0辆，公务用车保有量0辆。</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asciiTheme="minorEastAsia"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本单位本年度无此项预算，故无此项说明。</w:t>
      </w: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34A7AB8"/>
    <w:rsid w:val="049A34C5"/>
    <w:rsid w:val="05E42E29"/>
    <w:rsid w:val="061E09E3"/>
    <w:rsid w:val="06A43BA7"/>
    <w:rsid w:val="07731DC9"/>
    <w:rsid w:val="087A6196"/>
    <w:rsid w:val="088F26B9"/>
    <w:rsid w:val="08920B16"/>
    <w:rsid w:val="08FF2E18"/>
    <w:rsid w:val="09FF04CF"/>
    <w:rsid w:val="0C5A5250"/>
    <w:rsid w:val="0C64513E"/>
    <w:rsid w:val="0DE649EC"/>
    <w:rsid w:val="0EE25EB1"/>
    <w:rsid w:val="10CB3E8D"/>
    <w:rsid w:val="11F35FF2"/>
    <w:rsid w:val="14667DD0"/>
    <w:rsid w:val="150F0459"/>
    <w:rsid w:val="16CD6FC2"/>
    <w:rsid w:val="175F2FAA"/>
    <w:rsid w:val="179A58B8"/>
    <w:rsid w:val="1A2A5C47"/>
    <w:rsid w:val="1AB87FFD"/>
    <w:rsid w:val="1B4A6025"/>
    <w:rsid w:val="1BDB0020"/>
    <w:rsid w:val="1DF453AF"/>
    <w:rsid w:val="1E107510"/>
    <w:rsid w:val="1E643EFE"/>
    <w:rsid w:val="1F356871"/>
    <w:rsid w:val="1F80151B"/>
    <w:rsid w:val="209E0EC3"/>
    <w:rsid w:val="22140CC1"/>
    <w:rsid w:val="24D63713"/>
    <w:rsid w:val="26C427E5"/>
    <w:rsid w:val="2888589E"/>
    <w:rsid w:val="28EB032D"/>
    <w:rsid w:val="297A7C8F"/>
    <w:rsid w:val="2A4937DC"/>
    <w:rsid w:val="2A906C13"/>
    <w:rsid w:val="2A937DAC"/>
    <w:rsid w:val="2B7B2F03"/>
    <w:rsid w:val="2B7B35FE"/>
    <w:rsid w:val="2CF56AF2"/>
    <w:rsid w:val="2DB60033"/>
    <w:rsid w:val="2E6276E4"/>
    <w:rsid w:val="2F754CA8"/>
    <w:rsid w:val="2FB928F6"/>
    <w:rsid w:val="30685DF0"/>
    <w:rsid w:val="31885A7D"/>
    <w:rsid w:val="341824CB"/>
    <w:rsid w:val="343F3937"/>
    <w:rsid w:val="34A22A97"/>
    <w:rsid w:val="34D53928"/>
    <w:rsid w:val="35C86165"/>
    <w:rsid w:val="36253C14"/>
    <w:rsid w:val="36870474"/>
    <w:rsid w:val="37015ED3"/>
    <w:rsid w:val="37767B72"/>
    <w:rsid w:val="37C84DAC"/>
    <w:rsid w:val="37C934D6"/>
    <w:rsid w:val="38776D23"/>
    <w:rsid w:val="38B219B5"/>
    <w:rsid w:val="38DF2469"/>
    <w:rsid w:val="39CE4F34"/>
    <w:rsid w:val="39E01B38"/>
    <w:rsid w:val="3A1D0DD2"/>
    <w:rsid w:val="3B255E20"/>
    <w:rsid w:val="3B352C40"/>
    <w:rsid w:val="3D62517D"/>
    <w:rsid w:val="3F5C42DA"/>
    <w:rsid w:val="43E475B8"/>
    <w:rsid w:val="453E427C"/>
    <w:rsid w:val="458A6271"/>
    <w:rsid w:val="458B37F5"/>
    <w:rsid w:val="45D4628B"/>
    <w:rsid w:val="45DF46D8"/>
    <w:rsid w:val="467D2DBE"/>
    <w:rsid w:val="47705F19"/>
    <w:rsid w:val="48832669"/>
    <w:rsid w:val="489129F4"/>
    <w:rsid w:val="48E87EB6"/>
    <w:rsid w:val="4A4F3891"/>
    <w:rsid w:val="4AFA4BB2"/>
    <w:rsid w:val="4CB66299"/>
    <w:rsid w:val="4D9B3CEE"/>
    <w:rsid w:val="4EBA5260"/>
    <w:rsid w:val="522F50B0"/>
    <w:rsid w:val="52412D19"/>
    <w:rsid w:val="52567629"/>
    <w:rsid w:val="582B68F4"/>
    <w:rsid w:val="58D5004E"/>
    <w:rsid w:val="59E60EAB"/>
    <w:rsid w:val="5A924785"/>
    <w:rsid w:val="5D083F24"/>
    <w:rsid w:val="5D306324"/>
    <w:rsid w:val="5E0B45F3"/>
    <w:rsid w:val="60592BDC"/>
    <w:rsid w:val="60860A87"/>
    <w:rsid w:val="60B46440"/>
    <w:rsid w:val="61C6166E"/>
    <w:rsid w:val="635C762A"/>
    <w:rsid w:val="66B73C6C"/>
    <w:rsid w:val="68785A1C"/>
    <w:rsid w:val="69656F7C"/>
    <w:rsid w:val="699B3E9B"/>
    <w:rsid w:val="69B47776"/>
    <w:rsid w:val="69BE7A93"/>
    <w:rsid w:val="6A27059B"/>
    <w:rsid w:val="6C5D731F"/>
    <w:rsid w:val="6CDC42F5"/>
    <w:rsid w:val="6E915088"/>
    <w:rsid w:val="6FD93AE0"/>
    <w:rsid w:val="71715484"/>
    <w:rsid w:val="71FC58C7"/>
    <w:rsid w:val="7249546B"/>
    <w:rsid w:val="729F0AAD"/>
    <w:rsid w:val="74504D46"/>
    <w:rsid w:val="75F45C0F"/>
    <w:rsid w:val="762553C7"/>
    <w:rsid w:val="788604D4"/>
    <w:rsid w:val="7C255049"/>
    <w:rsid w:val="7C7014AB"/>
    <w:rsid w:val="7D79021C"/>
    <w:rsid w:val="7DA256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6">
    <w:name w:val="Strong"/>
    <w:basedOn w:val="5"/>
    <w:qFormat/>
    <w:uiPriority w:val="0"/>
    <w:rPr>
      <w:b/>
    </w:rPr>
  </w:style>
  <w:style w:type="character" w:customStyle="1" w:styleId="8">
    <w:name w:val="页眉 字符"/>
    <w:basedOn w:val="5"/>
    <w:link w:val="3"/>
    <w:qFormat/>
    <w:uiPriority w:val="0"/>
    <w:rPr>
      <w:rFonts w:asciiTheme="minorHAnsi" w:hAnsiTheme="minorHAnsi" w:eastAsiaTheme="minorEastAsia" w:cstheme="minorBidi"/>
      <w:kern w:val="2"/>
      <w:sz w:val="18"/>
      <w:szCs w:val="18"/>
    </w:rPr>
  </w:style>
  <w:style w:type="character" w:customStyle="1" w:styleId="9">
    <w:name w:val="页脚 字符"/>
    <w:basedOn w:val="5"/>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0</TotalTime>
  <ScaleCrop>false</ScaleCrop>
  <LinksUpToDate>false</LinksUpToDate>
  <CharactersWithSpaces>3878</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2021-06-03T14:29:41Z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ICV">
    <vt:lpwstr>F8AC168E0CDC4D6BBB411B7F957A1AF8</vt:lpwstr>
  </property>
</Properties>
</file>