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侯堡镇人民政府</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（2）制定并组织实施村镇建设规划，部署重点工程建设，地方道路建设及公共设施，水利设施的管理，负责土地、林木、水等自然资源和生态环境的保护，做好护林防火工作。</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（4）按计划组织本级财政收入和地方税的征收，完成国家财政计划，不断培植税源，管好财政资金，增强财政实力。</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（5）抓好精神文明建设，丰富群众文化生活，提倡移风易俗，反对封建迷信，破除陈规陋习，树立社会主义新风尚。</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（6）完成上级政府交办的其它事项。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 w:hAnsi="仿宋" w:eastAsia="仿宋" w:cs="仿宋"/>
          <w:b w:val="0"/>
          <w:bCs/>
          <w:color w:val="333333"/>
          <w:kern w:val="0"/>
          <w:sz w:val="32"/>
          <w:szCs w:val="32"/>
          <w:lang w:eastAsia="zh-CN"/>
        </w:rPr>
      </w:pPr>
      <w:r>
        <w:rPr>
          <w:rFonts w:hint="eastAsia" w:ascii="仿宋" w:hAnsi="仿宋" w:eastAsia="仿宋" w:cs="仿宋"/>
          <w:b w:val="0"/>
          <w:bCs/>
          <w:color w:val="333333"/>
          <w:kern w:val="0"/>
          <w:sz w:val="32"/>
          <w:szCs w:val="32"/>
        </w:rPr>
        <w:t>（一）</w:t>
      </w:r>
      <w:r>
        <w:rPr>
          <w:rFonts w:hint="eastAsia" w:ascii="仿宋" w:hAnsi="仿宋" w:eastAsia="仿宋" w:cs="仿宋"/>
          <w:b w:val="0"/>
          <w:bCs/>
          <w:color w:val="333333"/>
          <w:kern w:val="0"/>
          <w:sz w:val="32"/>
          <w:szCs w:val="32"/>
          <w:lang w:eastAsia="zh-CN"/>
        </w:rPr>
        <w:t>机构设置情况</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侯堡镇人民政府内设3个办公室：社会事务办公室、党政综合办公室、经济发展办公室；2个正股级事业单位：农村综合服务中心、民政工作服务中心。</w:t>
      </w:r>
    </w:p>
    <w:p>
      <w:pPr>
        <w:widowControl/>
        <w:spacing w:line="324" w:lineRule="atLeast"/>
        <w:ind w:left="540"/>
        <w:jc w:val="left"/>
        <w:rPr>
          <w:rFonts w:hint="eastAsia" w:ascii="仿宋" w:hAnsi="仿宋" w:eastAsia="仿宋" w:cs="仿宋"/>
          <w:b w:val="0"/>
          <w:bCs/>
          <w:color w:val="333333"/>
          <w:kern w:val="0"/>
          <w:sz w:val="32"/>
          <w:szCs w:val="32"/>
        </w:rPr>
      </w:pPr>
      <w:r>
        <w:rPr>
          <w:rFonts w:hint="eastAsia" w:ascii="仿宋" w:hAnsi="仿宋" w:eastAsia="仿宋" w:cs="仿宋"/>
          <w:b w:val="0"/>
          <w:bCs/>
          <w:color w:val="333333"/>
          <w:kern w:val="0"/>
          <w:sz w:val="32"/>
          <w:szCs w:val="32"/>
        </w:rPr>
        <w:t>（二）人员情况说明</w:t>
      </w:r>
    </w:p>
    <w:p>
      <w:pPr>
        <w:ind w:firstLine="645"/>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现有行政、事业编制44名，其中，行政编制23名，事业编制21名。实有39人，其中公务员18人，事业21人。</w:t>
      </w:r>
    </w:p>
    <w:p>
      <w:pPr>
        <w:ind w:firstLine="643" w:firstLineChars="200"/>
        <w:rPr>
          <w:rFonts w:hint="eastAsia" w:ascii="楷体" w:hAnsi="楷体" w:eastAsia="楷体" w:cs="楷体"/>
          <w:b/>
          <w:bCs/>
          <w:color w:val="C00000"/>
          <w:sz w:val="32"/>
          <w:szCs w:val="32"/>
          <w:lang w:eastAsia="zh-CN"/>
        </w:rPr>
      </w:pPr>
      <w:r>
        <w:rPr>
          <w:rFonts w:hint="eastAsia" w:ascii="楷体" w:hAnsi="楷体" w:eastAsia="楷体" w:cs="楷体"/>
          <w:b/>
          <w:bCs/>
          <w:sz w:val="32"/>
          <w:szCs w:val="32"/>
          <w:lang w:eastAsia="zh-CN"/>
        </w:rPr>
        <w:t>三、预算收支增减变化情况说明</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襄垣县侯堡镇人民政府2020年度收入、支出预算总计  2494.56万元，与上年相比收、支预算总计各增加646.72 万元，增长107.69 %。主要原因是事业单位机构改革所属乡镇站所人员工资归属乡镇统一管理，财政所所涉及收入与镇政府一起公开，并加大了项目投入力度。其中：</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（一）收入预算总计1247.28万元。包括：</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1．财政拨款收入预算总计1247.28万元。</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（1）一般公共预算收入预算1247.28万元，与上年相比增加646.72 万元，增长107.69%。主要原因是单位机构改革所属乡镇站所人员工资归属乡镇统一管理。</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（2）政府性基金收入预算0万元，与上年相比增加（减少）0万元，增长（减少）0%。主要原因是无此项收入。</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 0%。主要原因是无此项收入。</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3．其他资金收入预算总计0万元。与上年相比增加（减少）0万元，增长（减少）0 %。主要原因是无此项收入。</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4．上年结转资金预算数为0万元。与上年相比增加（减少）0万元，增长（减少）0%。主要原因是无此项。</w:t>
      </w:r>
    </w:p>
    <w:p>
      <w:pPr>
        <w:ind w:firstLine="320" w:firstLineChars="1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（二）支出预算总计1247.28万元。包括：</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服务（类）支出507.67万元，主要用于代表工作、委员视察、信访、财政、组织及宣传事务支出。与上年相比增加85.55万元，增长20.27%。主要原因是在基层人大、政协及党建工作中投入了更大的力度，乡镇所属站所人员行政及工资关系归属乡镇统一管理。</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2、教育（类）支出 4.86万元，主要用于学前教育。与上年相比增加4.86万元，增长100 %。主要原因是增加了秋季普惠性民办幼儿园奖补项目。</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3．文化旅游体育与传媒（类）支出  0万元，与上年相比减少30 万元，减少100 %。主要原因是本年无此项支出。</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社会保障和就业（类）支出84.77万元，主要用于行政事业单位离退休及退役支出。与上年相比增加26.51万元，增长45.50 %。主要原因是事业单位机构改革所属乡镇站所人员工资归属乡镇统一管理及退役军人服务中心（站）建设。</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5.卫生健康（类）支出26.42万元，主要用于行政事业单位医疗及重大卫生支出。与上年相比增加10.86万元，增长69.79 %。主要原因是重大公共卫生发生及乡镇人员调动。</w:t>
      </w:r>
    </w:p>
    <w:p>
      <w:pPr>
        <w:numPr>
          <w:ilvl w:val="0"/>
          <w:numId w:val="0"/>
        </w:numPr>
        <w:ind w:firstLine="64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6.节能环保（类）支出37.68万元，主要用于清洁取暖。与上年相比增加37.68万元，增长100 %。主要原因是上年无此项支出。</w:t>
      </w:r>
    </w:p>
    <w:p>
      <w:pPr>
        <w:numPr>
          <w:ilvl w:val="0"/>
          <w:numId w:val="0"/>
        </w:numPr>
        <w:ind w:firstLine="64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7.城乡社区（类）支出299.86万元，主要用于城乡社区环境卫生。与上年相比增加296.39万元，增长8541.50 %。主要原因是加大了城乡环境卫生支出。</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8.农林水（类）支出247.86万元，主要用于农村公益事业、森林培育及其他农业农村支出。与上年相比增加200.81万元，增长426.80 %。主要原因是进一步加大了对村民委员会及村党支部的补助。</w:t>
      </w:r>
    </w:p>
    <w:p>
      <w:pPr>
        <w:numPr>
          <w:ilvl w:val="0"/>
          <w:numId w:val="0"/>
        </w:numPr>
        <w:ind w:firstLine="64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9.自然资源海洋气象等（类）支出4.91万元，主要用于土地资源利用与保护。与上年相比增加4.91万元，增长100.00 %。主要原因是上年度无此项支出。</w:t>
      </w:r>
    </w:p>
    <w:p>
      <w:pPr>
        <w:numPr>
          <w:ilvl w:val="0"/>
          <w:numId w:val="0"/>
        </w:numPr>
        <w:ind w:firstLine="64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10.住房保障（类）支出33.25万元，主要用于单位在职人员住房公积金。与上年相比增加9.15万元，增长37.97 %。主要原因是人员调动。</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11．结转下年资金预算数为0万元。</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此外，基本支出预算数为545.34万元。与上年相比增加84.10万元，增长18.23 %。主要原因是人员调动。</w:t>
      </w:r>
    </w:p>
    <w:p>
      <w:pPr>
        <w:ind w:firstLine="64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项目支出预算数为701.94万元。与上年相比增加562.62万元，增长403.83 %。主要原因是加大了城乡环境卫生治理力度及清洁取暖项目。</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单位预留机动经费预算数为0万元。与上年相比增加（减少）0万元，增长（减少）0 %。主要原因是无此项列支。</w:t>
      </w:r>
    </w:p>
    <w:p>
      <w:pPr>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四、机关运行经费安排情况说明</w:t>
      </w:r>
    </w:p>
    <w:p>
      <w:pPr>
        <w:ind w:firstLine="640" w:firstLineChars="200"/>
        <w:jc w:val="left"/>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本单位</w:t>
      </w:r>
      <w:r>
        <w:rPr>
          <w:rFonts w:hint="eastAsia" w:ascii="仿宋" w:hAnsi="仿宋" w:eastAsia="仿宋" w:cs="仿宋"/>
          <w:color w:val="000000" w:themeColor="text1"/>
          <w:sz w:val="32"/>
          <w:szCs w:val="32"/>
          <w14:textFill>
            <w14:solidFill>
              <w14:schemeClr w14:val="tx1"/>
            </w14:solidFill>
          </w14:textFill>
        </w:rPr>
        <w:t>机关运行经费</w:t>
      </w:r>
      <w:r>
        <w:rPr>
          <w:rFonts w:hint="eastAsia" w:ascii="仿宋" w:hAnsi="仿宋" w:eastAsia="仿宋" w:cs="仿宋"/>
          <w:color w:val="000000" w:themeColor="text1"/>
          <w:sz w:val="32"/>
          <w:szCs w:val="32"/>
          <w:lang w:eastAsia="zh-CN"/>
          <w14:textFill>
            <w14:solidFill>
              <w14:schemeClr w14:val="tx1"/>
            </w14:solidFill>
          </w14:textFill>
        </w:rPr>
        <w:t>支出预算数为</w:t>
      </w:r>
      <w:r>
        <w:rPr>
          <w:rFonts w:hint="eastAsia" w:ascii="仿宋" w:hAnsi="仿宋" w:eastAsia="仿宋" w:cs="仿宋"/>
          <w:color w:val="000000" w:themeColor="text1"/>
          <w:sz w:val="32"/>
          <w:szCs w:val="32"/>
          <w:lang w:val="en-US" w:eastAsia="zh-CN"/>
          <w14:textFill>
            <w14:solidFill>
              <w14:schemeClr w14:val="tx1"/>
            </w14:solidFill>
          </w14:textFill>
        </w:rPr>
        <w:t>118.11万元，较2019年减少14.94万元，其中：</w:t>
      </w:r>
      <w:r>
        <w:rPr>
          <w:rFonts w:hint="eastAsia" w:ascii="仿宋" w:hAnsi="仿宋" w:eastAsia="仿宋" w:cs="仿宋"/>
          <w:color w:val="000000" w:themeColor="text1"/>
          <w:sz w:val="32"/>
          <w:szCs w:val="32"/>
          <w14:textFill>
            <w14:solidFill>
              <w14:schemeClr w14:val="tx1"/>
            </w14:solidFill>
          </w14:textFill>
        </w:rPr>
        <w:t>办公费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17.01万元</w:t>
      </w:r>
      <w:r>
        <w:rPr>
          <w:rFonts w:hint="eastAsia" w:ascii="仿宋" w:hAnsi="仿宋" w:eastAsia="仿宋" w:cs="仿宋"/>
          <w:color w:val="000000" w:themeColor="text1"/>
          <w:sz w:val="32"/>
          <w:szCs w:val="32"/>
          <w14:textFill>
            <w14:solidFill>
              <w14:schemeClr w14:val="tx1"/>
            </w14:solidFill>
          </w14:textFill>
        </w:rPr>
        <w:t>、印刷费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6.50万元</w:t>
      </w:r>
      <w:r>
        <w:rPr>
          <w:rFonts w:hint="eastAsia" w:ascii="仿宋" w:hAnsi="仿宋" w:eastAsia="仿宋" w:cs="仿宋"/>
          <w:color w:val="000000" w:themeColor="text1"/>
          <w:sz w:val="32"/>
          <w:szCs w:val="32"/>
          <w14:textFill>
            <w14:solidFill>
              <w14:schemeClr w14:val="tx1"/>
            </w14:solidFill>
          </w14:textFill>
        </w:rPr>
        <w:t>、差旅费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2.10万元</w:t>
      </w:r>
      <w:r>
        <w:rPr>
          <w:rFonts w:hint="eastAsia" w:ascii="仿宋" w:hAnsi="仿宋" w:eastAsia="仿宋" w:cs="仿宋"/>
          <w:color w:val="000000" w:themeColor="text1"/>
          <w:sz w:val="32"/>
          <w:szCs w:val="32"/>
          <w14:textFill>
            <w14:solidFill>
              <w14:schemeClr w14:val="tx1"/>
            </w14:solidFill>
          </w14:textFill>
        </w:rPr>
        <w:t>等。</w:t>
      </w:r>
      <w:r>
        <w:rPr>
          <w:rFonts w:hint="eastAsia" w:ascii="仿宋" w:hAnsi="仿宋" w:eastAsia="仿宋" w:cs="仿宋"/>
          <w:color w:val="000000" w:themeColor="text1"/>
          <w:sz w:val="32"/>
          <w:szCs w:val="32"/>
          <w:lang w:eastAsia="zh-CN"/>
          <w14:textFill>
            <w14:solidFill>
              <w14:schemeClr w14:val="tx1"/>
            </w14:solidFill>
          </w14:textFill>
        </w:rPr>
        <w:t>主要增减变化情况：</w:t>
      </w:r>
      <w:r>
        <w:rPr>
          <w:rFonts w:hint="eastAsia" w:ascii="仿宋" w:hAnsi="仿宋" w:eastAsia="仿宋" w:cs="仿宋"/>
          <w:color w:val="000000" w:themeColor="text1"/>
          <w:sz w:val="32"/>
          <w:szCs w:val="32"/>
          <w14:textFill>
            <w14:solidFill>
              <w14:schemeClr w14:val="tx1"/>
            </w14:solidFill>
          </w14:textFill>
        </w:rPr>
        <w:t>认真贯彻落实中央“八项规定”精神和厉行节约要求，全年</w:t>
      </w:r>
      <w:r>
        <w:rPr>
          <w:rFonts w:hint="eastAsia" w:ascii="仿宋" w:hAnsi="仿宋" w:eastAsia="仿宋" w:cs="仿宋"/>
          <w:color w:val="000000" w:themeColor="text1"/>
          <w:sz w:val="32"/>
          <w:szCs w:val="32"/>
          <w:lang w:eastAsia="zh-CN"/>
          <w14:textFill>
            <w14:solidFill>
              <w14:schemeClr w14:val="tx1"/>
            </w14:solidFill>
          </w14:textFill>
        </w:rPr>
        <w:t>列</w:t>
      </w:r>
      <w:r>
        <w:rPr>
          <w:rFonts w:hint="eastAsia" w:ascii="仿宋" w:hAnsi="仿宋" w:eastAsia="仿宋" w:cs="仿宋"/>
          <w:color w:val="000000" w:themeColor="text1"/>
          <w:sz w:val="32"/>
          <w:szCs w:val="32"/>
          <w14:textFill>
            <w14:solidFill>
              <w14:schemeClr w14:val="tx1"/>
            </w14:solidFill>
          </w14:textFill>
        </w:rPr>
        <w:t>支预算有所节约。</w:t>
      </w:r>
    </w:p>
    <w:p>
      <w:pPr>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五、政府采购安排情况说明</w:t>
      </w:r>
    </w:p>
    <w:p>
      <w:pPr>
        <w:numPr>
          <w:ilvl w:val="0"/>
          <w:numId w:val="0"/>
        </w:num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本部门20</w:t>
      </w:r>
      <w:r>
        <w:rPr>
          <w:rFonts w:hint="eastAsia" w:ascii="仿宋" w:hAnsi="仿宋" w:eastAsia="仿宋" w:cs="仿宋"/>
          <w:color w:val="000000" w:themeColor="text1"/>
          <w:sz w:val="32"/>
          <w:szCs w:val="32"/>
          <w:lang w:val="en-US" w:eastAsia="zh-CN"/>
          <w14:textFill>
            <w14:solidFill>
              <w14:schemeClr w14:val="tx1"/>
            </w14:solidFill>
          </w14:textFill>
        </w:rPr>
        <w:t>20</w:t>
      </w:r>
      <w:r>
        <w:rPr>
          <w:rFonts w:hint="eastAsia" w:ascii="仿宋" w:hAnsi="仿宋" w:eastAsia="仿宋" w:cs="仿宋"/>
          <w:color w:val="000000" w:themeColor="text1"/>
          <w:sz w:val="32"/>
          <w:szCs w:val="32"/>
          <w14:textFill>
            <w14:solidFill>
              <w14:schemeClr w14:val="tx1"/>
            </w14:solidFill>
          </w14:textFill>
        </w:rPr>
        <w:t>年度政府采购</w:t>
      </w:r>
      <w:r>
        <w:rPr>
          <w:rFonts w:hint="eastAsia" w:ascii="仿宋" w:hAnsi="仿宋" w:eastAsia="仿宋" w:cs="仿宋"/>
          <w:color w:val="000000" w:themeColor="text1"/>
          <w:sz w:val="32"/>
          <w:szCs w:val="32"/>
          <w:lang w:eastAsia="zh-CN"/>
          <w14:textFill>
            <w14:solidFill>
              <w14:schemeClr w14:val="tx1"/>
            </w14:solidFill>
          </w14:textFill>
        </w:rPr>
        <w:t>安排</w:t>
      </w:r>
      <w:r>
        <w:rPr>
          <w:rFonts w:hint="eastAsia" w:ascii="仿宋" w:hAnsi="仿宋" w:eastAsia="仿宋" w:cs="仿宋"/>
          <w:color w:val="000000" w:themeColor="text1"/>
          <w:sz w:val="32"/>
          <w:szCs w:val="32"/>
          <w:lang w:val="en-US" w:eastAsia="zh-CN"/>
          <w14:textFill>
            <w14:solidFill>
              <w14:schemeClr w14:val="tx1"/>
            </w14:solidFill>
          </w14:textFill>
        </w:rPr>
        <w:t>5.00</w:t>
      </w:r>
      <w:r>
        <w:rPr>
          <w:rFonts w:hint="eastAsia" w:ascii="仿宋" w:hAnsi="仿宋" w:eastAsia="仿宋" w:cs="仿宋"/>
          <w:color w:val="000000" w:themeColor="text1"/>
          <w:sz w:val="32"/>
          <w:szCs w:val="32"/>
          <w14:textFill>
            <w14:solidFill>
              <w14:schemeClr w14:val="tx1"/>
            </w14:solidFill>
          </w14:textFill>
        </w:rPr>
        <w:t>万元，其中：政府采购货物支出</w:t>
      </w:r>
      <w:r>
        <w:rPr>
          <w:rFonts w:hint="eastAsia" w:ascii="仿宋" w:hAnsi="仿宋" w:eastAsia="仿宋" w:cs="仿宋"/>
          <w:color w:val="000000" w:themeColor="text1"/>
          <w:sz w:val="32"/>
          <w:szCs w:val="32"/>
          <w:lang w:val="en-US" w:eastAsia="zh-CN"/>
          <w14:textFill>
            <w14:solidFill>
              <w14:schemeClr w14:val="tx1"/>
            </w14:solidFill>
          </w14:textFill>
        </w:rPr>
        <w:t>5.00</w:t>
      </w:r>
      <w:r>
        <w:rPr>
          <w:rFonts w:hint="eastAsia" w:ascii="仿宋" w:hAnsi="仿宋" w:eastAsia="仿宋" w:cs="仿宋"/>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六、对专业性较强的名词进行解释</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财政拨款收入：指单位本年度从本级财政部门取得的财政拨款，包括一般公共预算财政拨款和政府性基金预算财政拨款。</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上级补助收入：指事业单位从主管部门和上级单位取得的非财政补助收入。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经营收入：指事业单位在专业业务活动及其辅助活动之外开展非独立核算经营活动取得的收入。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附属单位缴款：指事业单位附属独立核算单位按照有关规定上缴的收入。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 xml:space="preserve">其他收入：指单位取得的除上述“财政拨款收入”、“事业收入”、“经营收入”、“附属单位缴款”等以外的各项收入。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 xml:space="preserve">用事业基金弥补收支差额：指事业单位用事业基金弥补当年收支差额的数额。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 xml:space="preserve">年初结转和结余：指单位上年结转本年使用的基本支出结转、项目支出结转和结余和经营结余。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（十）</w:t>
      </w:r>
      <w:r>
        <w:rPr>
          <w:rFonts w:hint="eastAsia" w:ascii="仿宋" w:hAnsi="仿宋" w:eastAsia="仿宋" w:cs="仿宋"/>
          <w:sz w:val="32"/>
          <w:szCs w:val="32"/>
        </w:rPr>
        <w:t>年末结转和结余资金：指单位结转下年的基本支出结转、项目支出结转和结余和经营结余。</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十一</w:t>
      </w:r>
      <w:r>
        <w:rPr>
          <w:rFonts w:hint="eastAsia" w:ascii="仿宋" w:hAnsi="仿宋" w:eastAsia="仿宋" w:cs="仿宋"/>
          <w:sz w:val="32"/>
          <w:szCs w:val="32"/>
          <w:lang w:eastAsia="zh-CN"/>
        </w:rPr>
        <w:t>）</w:t>
      </w:r>
      <w:r>
        <w:rPr>
          <w:rFonts w:hint="eastAsia" w:ascii="仿宋" w:hAnsi="仿宋" w:eastAsia="仿宋" w:cs="仿宋"/>
          <w:sz w:val="32"/>
          <w:szCs w:val="32"/>
        </w:rPr>
        <w:t xml:space="preserve">基本支出：指为保障机构正常运转、完成日常工作任务而发生的人员支出和公用支出。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十二</w:t>
      </w:r>
      <w:r>
        <w:rPr>
          <w:rFonts w:hint="eastAsia" w:ascii="仿宋" w:hAnsi="仿宋" w:eastAsia="仿宋" w:cs="仿宋"/>
          <w:sz w:val="32"/>
          <w:szCs w:val="32"/>
          <w:lang w:eastAsia="zh-CN"/>
        </w:rPr>
        <w:t>）</w:t>
      </w:r>
      <w:r>
        <w:rPr>
          <w:rFonts w:hint="eastAsia" w:ascii="仿宋" w:hAnsi="仿宋" w:eastAsia="仿宋" w:cs="仿宋"/>
          <w:sz w:val="32"/>
          <w:szCs w:val="32"/>
        </w:rPr>
        <w:t xml:space="preserve">项目支出：指在基本支出之外为完成特定的行政任务或事业发展目标所发生的支出。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十三</w:t>
      </w:r>
      <w:r>
        <w:rPr>
          <w:rFonts w:hint="eastAsia" w:ascii="仿宋" w:hAnsi="仿宋" w:eastAsia="仿宋" w:cs="仿宋"/>
          <w:sz w:val="32"/>
          <w:szCs w:val="32"/>
          <w:lang w:eastAsia="zh-CN"/>
        </w:rPr>
        <w:t>）</w:t>
      </w:r>
      <w:r>
        <w:rPr>
          <w:rFonts w:hint="eastAsia" w:ascii="仿宋" w:hAnsi="仿宋" w:eastAsia="仿宋" w:cs="仿宋"/>
          <w:sz w:val="32"/>
          <w:szCs w:val="32"/>
        </w:rPr>
        <w:t>上缴上级支出：指事业单位按照财政部门和主管部门的规定上缴上级单位的支出。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十四</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十五</w:t>
      </w:r>
      <w:r>
        <w:rPr>
          <w:rFonts w:hint="eastAsia" w:ascii="仿宋" w:hAnsi="仿宋" w:eastAsia="仿宋" w:cs="仿宋"/>
          <w:sz w:val="32"/>
          <w:szCs w:val="32"/>
          <w:lang w:eastAsia="zh-CN"/>
        </w:rPr>
        <w:t>）</w:t>
      </w:r>
      <w:r>
        <w:rPr>
          <w:rFonts w:hint="eastAsia" w:ascii="仿宋" w:hAnsi="仿宋" w:eastAsia="仿宋" w:cs="仿宋"/>
          <w:sz w:val="32"/>
          <w:szCs w:val="32"/>
        </w:rPr>
        <w:t>对附属单位补助支出：指事业单位用财政补助收入之外的收入对附属单位补助发生的支出。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十六</w:t>
      </w:r>
      <w:r>
        <w:rPr>
          <w:rFonts w:hint="eastAsia" w:ascii="仿宋" w:hAnsi="仿宋" w:eastAsia="仿宋" w:cs="仿宋"/>
          <w:sz w:val="32"/>
          <w:szCs w:val="32"/>
          <w:lang w:eastAsia="zh-CN"/>
        </w:rPr>
        <w:t>）</w:t>
      </w:r>
      <w:r>
        <w:rPr>
          <w:rFonts w:hint="eastAsia" w:ascii="仿宋" w:hAnsi="仿宋" w:eastAsia="仿宋" w:cs="仿宋"/>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十七</w:t>
      </w:r>
      <w:r>
        <w:rPr>
          <w:rFonts w:hint="eastAsia" w:ascii="仿宋" w:hAnsi="仿宋" w:eastAsia="仿宋" w:cs="仿宋"/>
          <w:sz w:val="32"/>
          <w:szCs w:val="32"/>
          <w:lang w:eastAsia="zh-CN"/>
        </w:rPr>
        <w:t>）</w:t>
      </w:r>
      <w:r>
        <w:rPr>
          <w:rFonts w:hint="eastAsia" w:ascii="仿宋" w:hAnsi="仿宋" w:eastAsia="仿宋" w:cs="仿宋"/>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eastAsia="zh-CN"/>
        </w:rPr>
        <w:t>七、国有</w:t>
      </w:r>
      <w:r>
        <w:rPr>
          <w:rFonts w:hint="eastAsia" w:ascii="楷体" w:hAnsi="楷体" w:eastAsia="楷体" w:cs="楷体"/>
          <w:b/>
          <w:bCs w:val="0"/>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截止201</w:t>
      </w:r>
      <w:r>
        <w:rPr>
          <w:rFonts w:hint="eastAsia" w:ascii="仿宋" w:hAnsi="仿宋" w:eastAsia="仿宋" w:cs="仿宋"/>
          <w:color w:val="auto"/>
          <w:sz w:val="32"/>
          <w:szCs w:val="32"/>
          <w:shd w:val="clear" w:color="auto" w:fill="FFFFFF"/>
          <w:lang w:val="en-US" w:eastAsia="zh-CN"/>
        </w:rPr>
        <w:t>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侯堡镇人民政府</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 xml:space="preserve">1786.57 </w:t>
      </w:r>
      <w:r>
        <w:rPr>
          <w:rFonts w:hint="eastAsia" w:ascii="仿宋" w:hAnsi="仿宋" w:eastAsia="仿宋" w:cs="仿宋"/>
          <w:color w:val="auto"/>
          <w:sz w:val="32"/>
          <w:szCs w:val="32"/>
          <w:shd w:val="clear" w:color="auto" w:fill="FFFFFF"/>
        </w:rPr>
        <w:t>万元，其中流动资产</w:t>
      </w:r>
      <w:r>
        <w:rPr>
          <w:rFonts w:hint="eastAsia" w:ascii="仿宋" w:hAnsi="仿宋" w:eastAsia="仿宋" w:cs="仿宋"/>
          <w:color w:val="auto"/>
          <w:sz w:val="32"/>
          <w:szCs w:val="32"/>
          <w:shd w:val="clear" w:color="auto" w:fill="FFFFFF"/>
          <w:lang w:val="en-US" w:eastAsia="zh-CN"/>
        </w:rPr>
        <w:t>722.34</w:t>
      </w:r>
      <w:r>
        <w:rPr>
          <w:rFonts w:hint="eastAsia" w:ascii="仿宋" w:hAnsi="仿宋" w:eastAsia="仿宋" w:cs="仿宋"/>
          <w:color w:val="auto"/>
          <w:sz w:val="32"/>
          <w:szCs w:val="32"/>
          <w:shd w:val="clear" w:color="auto" w:fill="FFFFFF"/>
        </w:rPr>
        <w:t>万元，固定资产</w:t>
      </w:r>
      <w:r>
        <w:rPr>
          <w:rFonts w:hint="eastAsia" w:ascii="仿宋" w:hAnsi="仿宋" w:eastAsia="仿宋" w:cs="仿宋"/>
          <w:color w:val="auto"/>
          <w:sz w:val="32"/>
          <w:szCs w:val="32"/>
          <w:shd w:val="clear" w:color="auto" w:fill="FFFFFF"/>
          <w:lang w:val="en-US" w:eastAsia="zh-CN"/>
        </w:rPr>
        <w:t xml:space="preserve">235.52 </w:t>
      </w:r>
      <w:r>
        <w:rPr>
          <w:rFonts w:hint="eastAsia" w:ascii="仿宋" w:hAnsi="仿宋" w:eastAsia="仿宋" w:cs="仿宋"/>
          <w:color w:val="auto"/>
          <w:sz w:val="32"/>
          <w:szCs w:val="32"/>
          <w:shd w:val="clear" w:color="auto" w:fill="FFFFFF"/>
        </w:rPr>
        <w:t>万元，在建工程</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万元，无形资产</w:t>
      </w:r>
      <w:r>
        <w:rPr>
          <w:rFonts w:hint="eastAsia" w:ascii="仿宋" w:hAnsi="仿宋" w:eastAsia="仿宋" w:cs="仿宋"/>
          <w:color w:val="auto"/>
          <w:sz w:val="32"/>
          <w:szCs w:val="32"/>
          <w:shd w:val="clear" w:color="auto" w:fill="FFFFFF"/>
          <w:lang w:val="en-US" w:eastAsia="zh-CN"/>
        </w:rPr>
        <w:t xml:space="preserve">1.44 </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固定资产当中，房屋构筑物</w:t>
      </w:r>
      <w:r>
        <w:rPr>
          <w:rFonts w:hint="eastAsia" w:ascii="仿宋" w:hAnsi="仿宋" w:eastAsia="仿宋" w:cs="仿宋"/>
          <w:color w:val="auto"/>
          <w:sz w:val="32"/>
          <w:szCs w:val="32"/>
          <w:shd w:val="clear" w:color="auto" w:fill="FFFFFF"/>
          <w:lang w:val="en-US" w:eastAsia="zh-CN"/>
        </w:rPr>
        <w:t xml:space="preserve"> 28.19</w:t>
      </w:r>
      <w:r>
        <w:rPr>
          <w:rFonts w:hint="eastAsia" w:ascii="仿宋" w:hAnsi="仿宋" w:eastAsia="仿宋" w:cs="仿宋"/>
          <w:color w:val="auto"/>
          <w:sz w:val="32"/>
          <w:szCs w:val="32"/>
          <w:shd w:val="clear" w:color="auto" w:fill="FFFFFF"/>
        </w:rPr>
        <w:t>万元，汽车</w:t>
      </w:r>
      <w:r>
        <w:rPr>
          <w:rFonts w:hint="eastAsia" w:ascii="仿宋" w:hAnsi="仿宋" w:eastAsia="仿宋" w:cs="仿宋"/>
          <w:color w:val="auto"/>
          <w:sz w:val="32"/>
          <w:szCs w:val="32"/>
          <w:shd w:val="clear" w:color="auto" w:fill="FFFFFF"/>
          <w:lang w:val="en-US" w:eastAsia="zh-CN"/>
        </w:rPr>
        <w:t xml:space="preserve">3 </w:t>
      </w:r>
      <w:r>
        <w:rPr>
          <w:rFonts w:hint="eastAsia" w:ascii="仿宋" w:hAnsi="仿宋" w:eastAsia="仿宋" w:cs="仿宋"/>
          <w:color w:val="auto"/>
          <w:sz w:val="32"/>
          <w:szCs w:val="32"/>
          <w:shd w:val="clear" w:color="auto" w:fill="FFFFFF"/>
        </w:rPr>
        <w:t>辆</w:t>
      </w:r>
      <w:r>
        <w:rPr>
          <w:rFonts w:hint="eastAsia" w:ascii="仿宋" w:hAnsi="仿宋" w:eastAsia="仿宋" w:cs="仿宋"/>
          <w:color w:val="auto"/>
          <w:sz w:val="32"/>
          <w:szCs w:val="32"/>
          <w:shd w:val="clear" w:color="auto" w:fill="FFFFFF"/>
          <w:lang w:val="en-US" w:eastAsia="zh-CN"/>
        </w:rPr>
        <w:t>27.81</w:t>
      </w:r>
      <w:r>
        <w:rPr>
          <w:rFonts w:hint="eastAsia" w:ascii="仿宋" w:hAnsi="仿宋" w:eastAsia="仿宋" w:cs="仿宋"/>
          <w:color w:val="auto"/>
          <w:sz w:val="32"/>
          <w:szCs w:val="32"/>
          <w:shd w:val="clear" w:color="auto" w:fill="FFFFFF"/>
        </w:rPr>
        <w:t>万元，单价200万元以上大型设备价值</w:t>
      </w:r>
      <w:r>
        <w:rPr>
          <w:rFonts w:hint="eastAsia" w:ascii="仿宋" w:hAnsi="仿宋" w:eastAsia="仿宋" w:cs="仿宋"/>
          <w:color w:val="auto"/>
          <w:sz w:val="32"/>
          <w:szCs w:val="32"/>
          <w:shd w:val="clear" w:color="auto" w:fill="FFFFFF"/>
          <w:lang w:val="en-US" w:eastAsia="zh-CN"/>
        </w:rPr>
        <w:t xml:space="preserve"> 0 </w:t>
      </w:r>
      <w:r>
        <w:rPr>
          <w:rFonts w:hint="eastAsia" w:ascii="仿宋" w:hAnsi="仿宋" w:eastAsia="仿宋" w:cs="仿宋"/>
          <w:color w:val="auto"/>
          <w:sz w:val="32"/>
          <w:szCs w:val="32"/>
          <w:shd w:val="clear" w:color="auto" w:fill="FFFFFF"/>
        </w:rPr>
        <w:t>万元，其他固定资产</w:t>
      </w:r>
      <w:r>
        <w:rPr>
          <w:rFonts w:hint="eastAsia" w:ascii="仿宋" w:hAnsi="仿宋" w:eastAsia="仿宋" w:cs="仿宋"/>
          <w:color w:val="auto"/>
          <w:sz w:val="32"/>
          <w:szCs w:val="32"/>
          <w:shd w:val="clear" w:color="auto" w:fill="FFFFFF"/>
          <w:lang w:val="en-US" w:eastAsia="zh-CN"/>
        </w:rPr>
        <w:t xml:space="preserve">207.33 </w:t>
      </w:r>
      <w:r>
        <w:rPr>
          <w:rFonts w:hint="eastAsia" w:ascii="仿宋" w:hAnsi="仿宋" w:eastAsia="仿宋" w:cs="仿宋"/>
          <w:color w:val="auto"/>
          <w:sz w:val="32"/>
          <w:szCs w:val="32"/>
          <w:shd w:val="clear" w:color="auto" w:fill="FFFFFF"/>
        </w:rPr>
        <w:t>万元。 与上年相比，本年资产总额</w:t>
      </w:r>
      <w:r>
        <w:rPr>
          <w:rFonts w:hint="eastAsia" w:ascii="仿宋" w:hAnsi="仿宋" w:eastAsia="仿宋" w:cs="仿宋"/>
          <w:color w:val="auto"/>
          <w:sz w:val="32"/>
          <w:szCs w:val="32"/>
          <w:shd w:val="clear" w:color="auto" w:fill="FFFFFF"/>
          <w:lang w:eastAsia="zh-CN"/>
        </w:rPr>
        <w:t>减少</w:t>
      </w:r>
      <w:r>
        <w:rPr>
          <w:rFonts w:hint="eastAsia" w:ascii="仿宋" w:hAnsi="仿宋" w:eastAsia="仿宋" w:cs="仿宋"/>
          <w:color w:val="auto"/>
          <w:sz w:val="32"/>
          <w:szCs w:val="32"/>
          <w:shd w:val="clear" w:color="auto" w:fill="FFFFFF"/>
          <w:lang w:val="en-US" w:eastAsia="zh-CN"/>
        </w:rPr>
        <w:t xml:space="preserve">876.49 </w:t>
      </w:r>
      <w:r>
        <w:rPr>
          <w:rFonts w:hint="eastAsia" w:ascii="仿宋" w:hAnsi="仿宋" w:eastAsia="仿宋" w:cs="仿宋"/>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截止201</w:t>
      </w:r>
      <w:r>
        <w:rPr>
          <w:rFonts w:hint="eastAsia" w:ascii="仿宋" w:hAnsi="仿宋" w:eastAsia="仿宋" w:cs="仿宋"/>
          <w:color w:val="auto"/>
          <w:sz w:val="32"/>
          <w:szCs w:val="32"/>
          <w:shd w:val="clear" w:color="auto" w:fill="FFFFFF"/>
          <w:lang w:val="en-US" w:eastAsia="zh-CN"/>
        </w:rPr>
        <w:t>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侯堡镇财政所</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 xml:space="preserve">17.45 </w:t>
      </w:r>
      <w:r>
        <w:rPr>
          <w:rFonts w:hint="eastAsia" w:ascii="仿宋" w:hAnsi="仿宋" w:eastAsia="仿宋" w:cs="仿宋"/>
          <w:color w:val="auto"/>
          <w:sz w:val="32"/>
          <w:szCs w:val="32"/>
          <w:shd w:val="clear" w:color="auto" w:fill="FFFFFF"/>
        </w:rPr>
        <w:t>万元，其中流动资产</w:t>
      </w:r>
      <w:r>
        <w:rPr>
          <w:rFonts w:hint="eastAsia" w:ascii="仿宋" w:hAnsi="仿宋" w:eastAsia="仿宋" w:cs="仿宋"/>
          <w:color w:val="auto"/>
          <w:sz w:val="32"/>
          <w:szCs w:val="32"/>
          <w:shd w:val="clear" w:color="auto" w:fill="FFFFFF"/>
          <w:lang w:val="en-US" w:eastAsia="zh-CN"/>
        </w:rPr>
        <w:t xml:space="preserve">1.60 </w:t>
      </w:r>
      <w:r>
        <w:rPr>
          <w:rFonts w:hint="eastAsia" w:ascii="仿宋" w:hAnsi="仿宋" w:eastAsia="仿宋" w:cs="仿宋"/>
          <w:color w:val="auto"/>
          <w:sz w:val="32"/>
          <w:szCs w:val="32"/>
          <w:shd w:val="clear" w:color="auto" w:fill="FFFFFF"/>
        </w:rPr>
        <w:t>万元，固定资产</w:t>
      </w:r>
      <w:r>
        <w:rPr>
          <w:rFonts w:hint="eastAsia" w:ascii="仿宋" w:hAnsi="仿宋" w:eastAsia="仿宋" w:cs="仿宋"/>
          <w:color w:val="auto"/>
          <w:sz w:val="32"/>
          <w:szCs w:val="32"/>
          <w:shd w:val="clear" w:color="auto" w:fill="FFFFFF"/>
          <w:lang w:val="en-US" w:eastAsia="zh-CN"/>
        </w:rPr>
        <w:t xml:space="preserve">15.85 </w:t>
      </w:r>
      <w:r>
        <w:rPr>
          <w:rFonts w:hint="eastAsia" w:ascii="仿宋" w:hAnsi="仿宋" w:eastAsia="仿宋" w:cs="仿宋"/>
          <w:color w:val="auto"/>
          <w:sz w:val="32"/>
          <w:szCs w:val="32"/>
          <w:shd w:val="clear" w:color="auto" w:fill="FFFFFF"/>
        </w:rPr>
        <w:t>万元，在建工程</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万元，无形资产</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固定资产当中，房屋构筑物</w:t>
      </w:r>
      <w:r>
        <w:rPr>
          <w:rFonts w:hint="eastAsia" w:ascii="仿宋" w:hAnsi="仿宋" w:eastAsia="仿宋" w:cs="仿宋"/>
          <w:color w:val="auto"/>
          <w:sz w:val="32"/>
          <w:szCs w:val="32"/>
          <w:shd w:val="clear" w:color="auto" w:fill="FFFFFF"/>
          <w:lang w:val="en-US" w:eastAsia="zh-CN"/>
        </w:rPr>
        <w:t xml:space="preserve">0 </w:t>
      </w:r>
      <w:r>
        <w:rPr>
          <w:rFonts w:hint="eastAsia" w:ascii="仿宋" w:hAnsi="仿宋" w:eastAsia="仿宋" w:cs="仿宋"/>
          <w:color w:val="auto"/>
          <w:sz w:val="32"/>
          <w:szCs w:val="32"/>
          <w:shd w:val="clear" w:color="auto" w:fill="FFFFFF"/>
        </w:rPr>
        <w:t>万元，汽车</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辆</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万元，单价200万元以上大型设备价值</w:t>
      </w:r>
      <w:r>
        <w:rPr>
          <w:rFonts w:hint="eastAsia" w:ascii="仿宋" w:hAnsi="仿宋" w:eastAsia="仿宋" w:cs="仿宋"/>
          <w:color w:val="auto"/>
          <w:sz w:val="32"/>
          <w:szCs w:val="32"/>
          <w:shd w:val="clear" w:color="auto" w:fill="FFFFFF"/>
          <w:lang w:val="en-US" w:eastAsia="zh-CN"/>
        </w:rPr>
        <w:t xml:space="preserve"> 0 </w:t>
      </w:r>
      <w:r>
        <w:rPr>
          <w:rFonts w:hint="eastAsia" w:ascii="仿宋" w:hAnsi="仿宋" w:eastAsia="仿宋" w:cs="仿宋"/>
          <w:color w:val="auto"/>
          <w:sz w:val="32"/>
          <w:szCs w:val="32"/>
          <w:shd w:val="clear" w:color="auto" w:fill="FFFFFF"/>
        </w:rPr>
        <w:t>万元，其他固定资产</w:t>
      </w:r>
      <w:r>
        <w:rPr>
          <w:rFonts w:hint="eastAsia" w:ascii="仿宋" w:hAnsi="仿宋" w:eastAsia="仿宋" w:cs="仿宋"/>
          <w:color w:val="auto"/>
          <w:sz w:val="32"/>
          <w:szCs w:val="32"/>
          <w:shd w:val="clear" w:color="auto" w:fill="FFFFFF"/>
          <w:lang w:val="en-US" w:eastAsia="zh-CN"/>
        </w:rPr>
        <w:t>15.85</w:t>
      </w:r>
      <w:r>
        <w:rPr>
          <w:rFonts w:hint="eastAsia" w:ascii="仿宋" w:hAnsi="仿宋" w:eastAsia="仿宋" w:cs="仿宋"/>
          <w:color w:val="auto"/>
          <w:sz w:val="32"/>
          <w:szCs w:val="32"/>
          <w:shd w:val="clear" w:color="auto" w:fill="FFFFFF"/>
        </w:rPr>
        <w:t>万元。 与上年相比，本年资产总额增加</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 </w:t>
      </w:r>
    </w:p>
    <w:p>
      <w:pPr>
        <w:ind w:firstLine="643" w:firstLineChars="200"/>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sz w:val="32"/>
          <w:szCs w:val="32"/>
          <w:lang w:val="en-US" w:eastAsia="zh-CN"/>
        </w:rPr>
        <w:t>我单位本年度项目支出701.94万元，其中：重点项目支出0万元。本部门本年度不涉及预算绩效项目。</w:t>
      </w:r>
    </w:p>
    <w:p>
      <w:pPr>
        <w:ind w:firstLine="643" w:firstLineChars="200"/>
        <w:rPr>
          <w:rFonts w:hint="eastAsia" w:ascii="楷体" w:hAnsi="楷体" w:eastAsia="楷体" w:cs="楷体"/>
          <w:b/>
          <w:bCs w:val="0"/>
          <w:sz w:val="32"/>
          <w:szCs w:val="32"/>
          <w:lang w:eastAsia="zh-CN"/>
        </w:rPr>
      </w:pPr>
      <w:r>
        <w:rPr>
          <w:rFonts w:hint="eastAsia" w:ascii="楷体" w:hAnsi="楷体" w:eastAsia="楷体" w:cs="楷体"/>
          <w:b/>
          <w:bCs w:val="0"/>
          <w:sz w:val="32"/>
          <w:szCs w:val="32"/>
          <w:lang w:val="en-US" w:eastAsia="zh-CN"/>
        </w:rPr>
        <w:t>九、</w:t>
      </w:r>
      <w:r>
        <w:rPr>
          <w:rFonts w:hint="eastAsia" w:ascii="楷体" w:hAnsi="楷体" w:eastAsia="楷体" w:cs="楷体"/>
          <w:b/>
          <w:bCs w:val="0"/>
          <w:sz w:val="32"/>
          <w:szCs w:val="32"/>
        </w:rPr>
        <w:t>一般公共预算“三公”经费支出</w:t>
      </w:r>
      <w:r>
        <w:rPr>
          <w:rFonts w:hint="eastAsia" w:ascii="楷体" w:hAnsi="楷体" w:eastAsia="楷体" w:cs="楷体"/>
          <w:b/>
          <w:bCs w:val="0"/>
          <w:sz w:val="32"/>
          <w:szCs w:val="32"/>
          <w:lang w:eastAsia="zh-CN"/>
        </w:rPr>
        <w:t>增减变化原因等说明</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本部门20</w:t>
      </w:r>
      <w:r>
        <w:rPr>
          <w:rFonts w:hint="eastAsia" w:ascii="仿宋" w:hAnsi="仿宋" w:eastAsia="仿宋" w:cs="仿宋"/>
          <w:color w:val="000000" w:themeColor="text1"/>
          <w:sz w:val="32"/>
          <w:szCs w:val="32"/>
          <w:lang w:val="en-US" w:eastAsia="zh-CN"/>
          <w14:textFill>
            <w14:solidFill>
              <w14:schemeClr w14:val="tx1"/>
            </w14:solidFill>
          </w14:textFill>
        </w:rPr>
        <w:t>20</w:t>
      </w:r>
      <w:r>
        <w:rPr>
          <w:rFonts w:hint="eastAsia" w:ascii="仿宋" w:hAnsi="仿宋" w:eastAsia="仿宋" w:cs="仿宋"/>
          <w:color w:val="000000" w:themeColor="text1"/>
          <w:sz w:val="32"/>
          <w:szCs w:val="32"/>
          <w14:textFill>
            <w14:solidFill>
              <w14:schemeClr w14:val="tx1"/>
            </w14:solidFill>
          </w14:textFill>
        </w:rPr>
        <w:t>年度一般公共预算“三公”经费预算数为</w:t>
      </w:r>
      <w:r>
        <w:rPr>
          <w:rFonts w:hint="eastAsia" w:ascii="仿宋" w:hAnsi="仿宋" w:eastAsia="仿宋" w:cs="仿宋"/>
          <w:color w:val="000000" w:themeColor="text1"/>
          <w:sz w:val="32"/>
          <w:szCs w:val="32"/>
          <w:lang w:val="en-US" w:eastAsia="zh-CN"/>
          <w14:textFill>
            <w14:solidFill>
              <w14:schemeClr w14:val="tx1"/>
            </w14:solidFill>
          </w14:textFill>
        </w:rPr>
        <w:t>4.00</w:t>
      </w:r>
      <w:r>
        <w:rPr>
          <w:rFonts w:hint="eastAsia" w:ascii="仿宋" w:hAnsi="仿宋" w:eastAsia="仿宋" w:cs="仿宋"/>
          <w:color w:val="000000" w:themeColor="text1"/>
          <w:sz w:val="32"/>
          <w:szCs w:val="32"/>
          <w14:textFill>
            <w14:solidFill>
              <w14:schemeClr w14:val="tx1"/>
            </w14:solidFill>
          </w14:textFill>
        </w:rPr>
        <w:t>万元，较20</w:t>
      </w:r>
      <w:r>
        <w:rPr>
          <w:rFonts w:hint="eastAsia" w:ascii="仿宋" w:hAnsi="仿宋" w:eastAsia="仿宋" w:cs="仿宋"/>
          <w:color w:val="000000" w:themeColor="text1"/>
          <w:sz w:val="32"/>
          <w:szCs w:val="32"/>
          <w:lang w:val="en-US" w:eastAsia="zh-CN"/>
          <w14:textFill>
            <w14:solidFill>
              <w14:schemeClr w14:val="tx1"/>
            </w14:solidFill>
          </w14:textFill>
        </w:rPr>
        <w:t>19</w:t>
      </w:r>
      <w:r>
        <w:rPr>
          <w:rFonts w:hint="eastAsia" w:ascii="仿宋" w:hAnsi="仿宋" w:eastAsia="仿宋" w:cs="仿宋"/>
          <w:color w:val="000000" w:themeColor="text1"/>
          <w:sz w:val="32"/>
          <w:szCs w:val="32"/>
          <w14:textFill>
            <w14:solidFill>
              <w14:schemeClr w14:val="tx1"/>
            </w14:solidFill>
          </w14:textFill>
        </w:rPr>
        <w:t>年减少</w:t>
      </w:r>
      <w:r>
        <w:rPr>
          <w:rFonts w:hint="eastAsia" w:ascii="仿宋" w:hAnsi="仿宋" w:eastAsia="仿宋" w:cs="仿宋"/>
          <w:color w:val="000000" w:themeColor="text1"/>
          <w:sz w:val="32"/>
          <w:szCs w:val="32"/>
          <w:lang w:val="en-US" w:eastAsia="zh-CN"/>
          <w14:textFill>
            <w14:solidFill>
              <w14:schemeClr w14:val="tx1"/>
            </w14:solidFill>
          </w14:textFill>
        </w:rPr>
        <w:t>0.10</w:t>
      </w:r>
      <w:r>
        <w:rPr>
          <w:rFonts w:hint="eastAsia" w:ascii="仿宋" w:hAnsi="仿宋" w:eastAsia="仿宋" w:cs="仿宋"/>
          <w:color w:val="000000" w:themeColor="text1"/>
          <w:sz w:val="32"/>
          <w:szCs w:val="32"/>
          <w14:textFill>
            <w14:solidFill>
              <w14:schemeClr w14:val="tx1"/>
            </w14:solidFill>
          </w14:textFill>
        </w:rPr>
        <w:t>万元，下降</w:t>
      </w:r>
      <w:r>
        <w:rPr>
          <w:rFonts w:hint="eastAsia" w:ascii="仿宋" w:hAnsi="仿宋" w:eastAsia="仿宋" w:cs="仿宋"/>
          <w:color w:val="000000" w:themeColor="text1"/>
          <w:sz w:val="32"/>
          <w:szCs w:val="32"/>
          <w:lang w:val="en-US" w:eastAsia="zh-CN"/>
          <w14:textFill>
            <w14:solidFill>
              <w14:schemeClr w14:val="tx1"/>
            </w14:solidFill>
          </w14:textFill>
        </w:rPr>
        <w:t>2.44</w:t>
      </w:r>
      <w:r>
        <w:rPr>
          <w:rFonts w:hint="eastAsia" w:ascii="仿宋" w:hAnsi="仿宋" w:eastAsia="仿宋" w:cs="仿宋"/>
          <w:color w:val="000000" w:themeColor="text1"/>
          <w:sz w:val="32"/>
          <w:szCs w:val="32"/>
          <w14:textFill>
            <w14:solidFill>
              <w14:schemeClr w14:val="tx1"/>
            </w14:solidFill>
          </w14:textFill>
        </w:rPr>
        <w:t>%，其中：</w:t>
      </w:r>
    </w:p>
    <w:p>
      <w:pPr>
        <w:numPr>
          <w:ilvl w:val="0"/>
          <w:numId w:val="1"/>
        </w:num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因公出国（境）支出年初预算数为0万元，</w:t>
      </w:r>
      <w:r>
        <w:rPr>
          <w:rFonts w:hint="eastAsia" w:ascii="仿宋" w:hAnsi="仿宋" w:eastAsia="仿宋" w:cs="仿宋"/>
          <w:color w:val="000000" w:themeColor="text1"/>
          <w:sz w:val="32"/>
          <w:szCs w:val="32"/>
          <w:lang w:eastAsia="zh-CN"/>
          <w14:textFill>
            <w14:solidFill>
              <w14:schemeClr w14:val="tx1"/>
            </w14:solidFill>
          </w14:textFill>
        </w:rPr>
        <w:t>因公出国（境）团组数为</w:t>
      </w:r>
      <w:r>
        <w:rPr>
          <w:rFonts w:hint="eastAsia" w:ascii="仿宋" w:hAnsi="仿宋" w:eastAsia="仿宋" w:cs="仿宋"/>
          <w:color w:val="000000" w:themeColor="text1"/>
          <w:sz w:val="32"/>
          <w:szCs w:val="32"/>
          <w:lang w:val="en-US" w:eastAsia="zh-CN"/>
          <w14:textFill>
            <w14:solidFill>
              <w14:schemeClr w14:val="tx1"/>
            </w14:solidFill>
          </w14:textFill>
        </w:rPr>
        <w:t>0，人数为0。</w:t>
      </w:r>
      <w:r>
        <w:rPr>
          <w:rFonts w:hint="eastAsia" w:ascii="仿宋" w:hAnsi="仿宋" w:eastAsia="仿宋" w:cs="仿宋"/>
          <w:color w:val="000000" w:themeColor="text1"/>
          <w:sz w:val="32"/>
          <w:szCs w:val="32"/>
          <w14:textFill>
            <w14:solidFill>
              <w14:schemeClr w14:val="tx1"/>
            </w14:solidFill>
          </w14:textFill>
        </w:rPr>
        <w:t>较</w:t>
      </w:r>
      <w:r>
        <w:rPr>
          <w:rFonts w:hint="eastAsia" w:ascii="仿宋" w:hAnsi="仿宋" w:eastAsia="仿宋" w:cs="仿宋"/>
          <w:color w:val="000000" w:themeColor="text1"/>
          <w:sz w:val="32"/>
          <w:szCs w:val="32"/>
          <w:lang w:val="en-US" w:eastAsia="zh-CN"/>
          <w14:textFill>
            <w14:solidFill>
              <w14:schemeClr w14:val="tx1"/>
            </w14:solidFill>
          </w14:textFill>
        </w:rPr>
        <w:t>2019</w:t>
      </w:r>
      <w:r>
        <w:rPr>
          <w:rFonts w:hint="eastAsia" w:ascii="仿宋" w:hAnsi="仿宋" w:eastAsia="仿宋" w:cs="仿宋"/>
          <w:color w:val="000000" w:themeColor="text1"/>
          <w:sz w:val="32"/>
          <w:szCs w:val="32"/>
          <w14:textFill>
            <w14:solidFill>
              <w14:schemeClr w14:val="tx1"/>
            </w14:solidFill>
          </w14:textFill>
        </w:rPr>
        <w:t>年增加（减少）0万元，增长（下降）0%。</w:t>
      </w:r>
    </w:p>
    <w:p>
      <w:pPr>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（二）公务接待费支出年初预算数为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万元，较201</w:t>
      </w:r>
      <w:r>
        <w:rPr>
          <w:rFonts w:hint="eastAsia" w:ascii="仿宋" w:hAnsi="仿宋" w:eastAsia="仿宋" w:cs="仿宋"/>
          <w:color w:val="000000" w:themeColor="text1"/>
          <w:sz w:val="32"/>
          <w:szCs w:val="32"/>
          <w:lang w:val="en-US" w:eastAsia="zh-CN"/>
          <w14:textFill>
            <w14:solidFill>
              <w14:schemeClr w14:val="tx1"/>
            </w14:solidFill>
          </w14:textFill>
        </w:rPr>
        <w:t>9</w:t>
      </w:r>
      <w:r>
        <w:rPr>
          <w:rFonts w:hint="eastAsia" w:ascii="仿宋" w:hAnsi="仿宋" w:eastAsia="仿宋" w:cs="仿宋"/>
          <w:color w:val="000000" w:themeColor="text1"/>
          <w:sz w:val="32"/>
          <w:szCs w:val="32"/>
          <w14:textFill>
            <w14:solidFill>
              <w14:schemeClr w14:val="tx1"/>
            </w14:solidFill>
          </w14:textFill>
        </w:rPr>
        <w:t>年减少</w:t>
      </w:r>
      <w:r>
        <w:rPr>
          <w:rFonts w:hint="eastAsia" w:ascii="仿宋" w:hAnsi="仿宋" w:eastAsia="仿宋" w:cs="仿宋"/>
          <w:color w:val="000000" w:themeColor="text1"/>
          <w:sz w:val="32"/>
          <w:szCs w:val="32"/>
          <w:lang w:val="en-US" w:eastAsia="zh-CN"/>
          <w14:textFill>
            <w14:solidFill>
              <w14:schemeClr w14:val="tx1"/>
            </w14:solidFill>
          </w14:textFill>
        </w:rPr>
        <w:t>0.10</w:t>
      </w:r>
      <w:r>
        <w:rPr>
          <w:rFonts w:hint="eastAsia" w:ascii="仿宋" w:hAnsi="仿宋" w:eastAsia="仿宋" w:cs="仿宋"/>
          <w:color w:val="000000" w:themeColor="text1"/>
          <w:sz w:val="32"/>
          <w:szCs w:val="32"/>
          <w14:textFill>
            <w14:solidFill>
              <w14:schemeClr w14:val="tx1"/>
            </w14:solidFill>
          </w14:textFill>
        </w:rPr>
        <w:t>万元，下降</w:t>
      </w:r>
      <w:r>
        <w:rPr>
          <w:rFonts w:hint="eastAsia" w:ascii="仿宋" w:hAnsi="仿宋" w:eastAsia="仿宋" w:cs="仿宋"/>
          <w:color w:val="000000" w:themeColor="text1"/>
          <w:sz w:val="32"/>
          <w:szCs w:val="32"/>
          <w:lang w:val="en-US" w:eastAsia="zh-CN"/>
          <w14:textFill>
            <w14:solidFill>
              <w14:schemeClr w14:val="tx1"/>
            </w14:solidFill>
          </w14:textFill>
        </w:rPr>
        <w:t xml:space="preserve">100 </w:t>
      </w:r>
      <w:r>
        <w:rPr>
          <w:rFonts w:hint="eastAsia" w:ascii="仿宋" w:hAnsi="仿宋" w:eastAsia="仿宋" w:cs="仿宋"/>
          <w:color w:val="000000" w:themeColor="text1"/>
          <w:sz w:val="32"/>
          <w:szCs w:val="32"/>
          <w14:textFill>
            <w14:solidFill>
              <w14:schemeClr w14:val="tx1"/>
            </w14:solidFill>
          </w14:textFill>
        </w:rPr>
        <w:t>%。主要原因是：</w:t>
      </w:r>
      <w:r>
        <w:rPr>
          <w:rFonts w:hint="eastAsia" w:ascii="仿宋" w:hAnsi="仿宋" w:eastAsia="仿宋" w:cs="仿宋"/>
          <w:color w:val="000000" w:themeColor="text1"/>
          <w:sz w:val="32"/>
          <w:szCs w:val="32"/>
          <w:lang w:eastAsia="zh-CN"/>
          <w14:textFill>
            <w14:solidFill>
              <w14:schemeClr w14:val="tx1"/>
            </w14:solidFill>
          </w14:textFill>
        </w:rPr>
        <w:t>本年度无此项预算</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本年度国内公务接待共</w:t>
      </w:r>
      <w:r>
        <w:rPr>
          <w:rFonts w:hint="eastAsia" w:ascii="仿宋" w:hAnsi="仿宋" w:eastAsia="仿宋" w:cs="仿宋"/>
          <w:color w:val="000000" w:themeColor="text1"/>
          <w:sz w:val="32"/>
          <w:szCs w:val="32"/>
          <w:lang w:val="en-US" w:eastAsia="zh-CN"/>
          <w14:textFill>
            <w14:solidFill>
              <w14:schemeClr w14:val="tx1"/>
            </w14:solidFill>
          </w14:textFill>
        </w:rPr>
        <w:t>0批次，共0人。</w:t>
      </w:r>
    </w:p>
    <w:p>
      <w:pPr>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（三）公务用车购置及运行维护费支出</w:t>
      </w:r>
      <w:r>
        <w:rPr>
          <w:rFonts w:hint="eastAsia" w:ascii="仿宋" w:hAnsi="仿宋" w:eastAsia="仿宋" w:cs="仿宋"/>
          <w:color w:val="000000" w:themeColor="text1"/>
          <w:sz w:val="32"/>
          <w:szCs w:val="32"/>
          <w:lang w:val="en-US" w:eastAsia="zh-CN"/>
          <w14:textFill>
            <w14:solidFill>
              <w14:schemeClr w14:val="tx1"/>
            </w14:solidFill>
          </w14:textFill>
        </w:rPr>
        <w:t>4.00</w:t>
      </w:r>
      <w:r>
        <w:rPr>
          <w:rFonts w:hint="eastAsia" w:ascii="仿宋" w:hAnsi="仿宋" w:eastAsia="仿宋" w:cs="仿宋"/>
          <w:color w:val="000000" w:themeColor="text1"/>
          <w:sz w:val="32"/>
          <w:szCs w:val="32"/>
          <w14:textFill>
            <w14:solidFill>
              <w14:schemeClr w14:val="tx1"/>
            </w14:solidFill>
          </w14:textFill>
        </w:rPr>
        <w:t>万元，其中公务用车购置年初预算数为0万元，较201</w:t>
      </w:r>
      <w:r>
        <w:rPr>
          <w:rFonts w:hint="eastAsia" w:ascii="仿宋" w:hAnsi="仿宋" w:eastAsia="仿宋" w:cs="仿宋"/>
          <w:color w:val="000000" w:themeColor="text1"/>
          <w:sz w:val="32"/>
          <w:szCs w:val="32"/>
          <w:lang w:val="en-US" w:eastAsia="zh-CN"/>
          <w14:textFill>
            <w14:solidFill>
              <w14:schemeClr w14:val="tx1"/>
            </w14:solidFill>
          </w14:textFill>
        </w:rPr>
        <w:t>9</w:t>
      </w:r>
      <w:r>
        <w:rPr>
          <w:rFonts w:hint="eastAsia" w:ascii="仿宋" w:hAnsi="仿宋" w:eastAsia="仿宋" w:cs="仿宋"/>
          <w:color w:val="000000" w:themeColor="text1"/>
          <w:sz w:val="32"/>
          <w:szCs w:val="32"/>
          <w14:textFill>
            <w14:solidFill>
              <w14:schemeClr w14:val="tx1"/>
            </w14:solidFill>
          </w14:textFill>
        </w:rPr>
        <w:t>年增加（减少）0万元，增长（下降）0%；公务用车运行维护费支出年初预算数为</w:t>
      </w:r>
      <w:r>
        <w:rPr>
          <w:rFonts w:hint="eastAsia" w:ascii="仿宋" w:hAnsi="仿宋" w:eastAsia="仿宋" w:cs="仿宋"/>
          <w:color w:val="000000" w:themeColor="text1"/>
          <w:sz w:val="32"/>
          <w:szCs w:val="32"/>
          <w:lang w:val="en-US" w:eastAsia="zh-CN"/>
          <w14:textFill>
            <w14:solidFill>
              <w14:schemeClr w14:val="tx1"/>
            </w14:solidFill>
          </w14:textFill>
        </w:rPr>
        <w:t>4.00</w:t>
      </w:r>
      <w:r>
        <w:rPr>
          <w:rFonts w:hint="eastAsia" w:ascii="仿宋" w:hAnsi="仿宋" w:eastAsia="仿宋" w:cs="仿宋"/>
          <w:color w:val="000000" w:themeColor="text1"/>
          <w:sz w:val="32"/>
          <w:szCs w:val="32"/>
          <w14:textFill>
            <w14:solidFill>
              <w14:schemeClr w14:val="tx1"/>
            </w14:solidFill>
          </w14:textFill>
        </w:rPr>
        <w:t>万元，较201</w:t>
      </w:r>
      <w:r>
        <w:rPr>
          <w:rFonts w:hint="eastAsia" w:ascii="仿宋" w:hAnsi="仿宋" w:eastAsia="仿宋" w:cs="仿宋"/>
          <w:color w:val="000000" w:themeColor="text1"/>
          <w:sz w:val="32"/>
          <w:szCs w:val="32"/>
          <w:lang w:val="en-US" w:eastAsia="zh-CN"/>
          <w14:textFill>
            <w14:solidFill>
              <w14:schemeClr w14:val="tx1"/>
            </w14:solidFill>
          </w14:textFill>
        </w:rPr>
        <w:t>9</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无增减变化</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本年度公务用车购置数</w:t>
      </w:r>
      <w:r>
        <w:rPr>
          <w:rFonts w:hint="eastAsia" w:ascii="仿宋" w:hAnsi="仿宋" w:eastAsia="仿宋" w:cs="仿宋"/>
          <w:color w:val="000000" w:themeColor="text1"/>
          <w:sz w:val="32"/>
          <w:szCs w:val="32"/>
          <w:lang w:val="en-US" w:eastAsia="zh-CN"/>
          <w14:textFill>
            <w14:solidFill>
              <w14:schemeClr w14:val="tx1"/>
            </w14:solidFill>
          </w14:textFill>
        </w:rPr>
        <w:t>0辆，公务用车保有量3辆。</w:t>
      </w:r>
    </w:p>
    <w:p>
      <w:pPr>
        <w:ind w:firstLine="643" w:firstLineChars="200"/>
        <w:rPr>
          <w:rFonts w:hint="eastAsia" w:ascii="楷体" w:hAnsi="楷体" w:eastAsia="楷体" w:cs="楷体"/>
          <w:b/>
          <w:bCs/>
          <w:sz w:val="32"/>
          <w:szCs w:val="32"/>
        </w:rPr>
      </w:pPr>
      <w:r>
        <w:rPr>
          <w:rFonts w:hint="eastAsia" w:ascii="楷体" w:hAnsi="楷体" w:eastAsia="楷体" w:cs="楷体"/>
          <w:b/>
          <w:bCs/>
          <w:sz w:val="32"/>
          <w:szCs w:val="32"/>
          <w:lang w:eastAsia="zh-CN"/>
        </w:rPr>
        <w:t>十</w:t>
      </w:r>
      <w:r>
        <w:rPr>
          <w:rFonts w:hint="eastAsia" w:ascii="楷体" w:hAnsi="楷体" w:eastAsia="楷体" w:cs="楷体"/>
          <w:b/>
          <w:bCs/>
          <w:sz w:val="32"/>
          <w:szCs w:val="32"/>
        </w:rPr>
        <w:t>、政府性基金预算支出预算情况说明</w:t>
      </w:r>
    </w:p>
    <w:p>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粗黑宋简体">
    <w:panose1 w:val="02000000000000000000"/>
    <w:charset w:val="86"/>
    <w:family w:val="auto"/>
    <w:pitch w:val="default"/>
    <w:sig w:usb0="A00002BF" w:usb1="184F6CFA" w:usb2="00000012"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15BA8"/>
    <w:rsid w:val="01DA336E"/>
    <w:rsid w:val="0221547C"/>
    <w:rsid w:val="04C904C2"/>
    <w:rsid w:val="05A20BB1"/>
    <w:rsid w:val="05E42E29"/>
    <w:rsid w:val="061E09E3"/>
    <w:rsid w:val="06A43BA7"/>
    <w:rsid w:val="08036197"/>
    <w:rsid w:val="087A6196"/>
    <w:rsid w:val="08BA27A7"/>
    <w:rsid w:val="0BCA0D0D"/>
    <w:rsid w:val="0BF92A63"/>
    <w:rsid w:val="0C5A5250"/>
    <w:rsid w:val="0C64513E"/>
    <w:rsid w:val="0D451EFF"/>
    <w:rsid w:val="0DE649EC"/>
    <w:rsid w:val="0E4C7A37"/>
    <w:rsid w:val="0ED2579A"/>
    <w:rsid w:val="0EE25EB1"/>
    <w:rsid w:val="0F3E11FA"/>
    <w:rsid w:val="104058D7"/>
    <w:rsid w:val="10CB3E8D"/>
    <w:rsid w:val="11667656"/>
    <w:rsid w:val="116C5FE2"/>
    <w:rsid w:val="11F35FF2"/>
    <w:rsid w:val="15065104"/>
    <w:rsid w:val="154B7397"/>
    <w:rsid w:val="1574082C"/>
    <w:rsid w:val="17585F51"/>
    <w:rsid w:val="179A58B8"/>
    <w:rsid w:val="17EB4536"/>
    <w:rsid w:val="18FB4FF2"/>
    <w:rsid w:val="1B4A6025"/>
    <w:rsid w:val="1C5612F3"/>
    <w:rsid w:val="1DF453AF"/>
    <w:rsid w:val="1E0B78BF"/>
    <w:rsid w:val="1E107510"/>
    <w:rsid w:val="1E643EFE"/>
    <w:rsid w:val="20393C12"/>
    <w:rsid w:val="209A66F9"/>
    <w:rsid w:val="209E0EC3"/>
    <w:rsid w:val="20D458F7"/>
    <w:rsid w:val="21B57121"/>
    <w:rsid w:val="21D34FB4"/>
    <w:rsid w:val="22140CC1"/>
    <w:rsid w:val="22F76696"/>
    <w:rsid w:val="24D63713"/>
    <w:rsid w:val="26D36A73"/>
    <w:rsid w:val="28CD3DF0"/>
    <w:rsid w:val="296839EC"/>
    <w:rsid w:val="29E2697F"/>
    <w:rsid w:val="29F37049"/>
    <w:rsid w:val="2A937DAC"/>
    <w:rsid w:val="2B1F5E06"/>
    <w:rsid w:val="2C1B2880"/>
    <w:rsid w:val="2C81532C"/>
    <w:rsid w:val="2DB60033"/>
    <w:rsid w:val="2E247BB0"/>
    <w:rsid w:val="2E461CB3"/>
    <w:rsid w:val="2EDA5C4F"/>
    <w:rsid w:val="2F754CA8"/>
    <w:rsid w:val="2FB928F6"/>
    <w:rsid w:val="30EC73F5"/>
    <w:rsid w:val="334E5317"/>
    <w:rsid w:val="341824CB"/>
    <w:rsid w:val="343F3937"/>
    <w:rsid w:val="34D53928"/>
    <w:rsid w:val="36870474"/>
    <w:rsid w:val="37015ED3"/>
    <w:rsid w:val="386F12FC"/>
    <w:rsid w:val="391E047F"/>
    <w:rsid w:val="39D763E5"/>
    <w:rsid w:val="39E01B38"/>
    <w:rsid w:val="39ED60C2"/>
    <w:rsid w:val="3CAE273B"/>
    <w:rsid w:val="3DEB5866"/>
    <w:rsid w:val="3E2973FA"/>
    <w:rsid w:val="3F4D4548"/>
    <w:rsid w:val="3F5C42DA"/>
    <w:rsid w:val="3FE205C4"/>
    <w:rsid w:val="40950B5E"/>
    <w:rsid w:val="42A2150D"/>
    <w:rsid w:val="434743F8"/>
    <w:rsid w:val="43DA6711"/>
    <w:rsid w:val="43E475B8"/>
    <w:rsid w:val="458B37F5"/>
    <w:rsid w:val="467D2DBE"/>
    <w:rsid w:val="46AD0E97"/>
    <w:rsid w:val="47B97C7F"/>
    <w:rsid w:val="48832669"/>
    <w:rsid w:val="48E87EB6"/>
    <w:rsid w:val="48F506B4"/>
    <w:rsid w:val="4A4F3891"/>
    <w:rsid w:val="4AFA4BB2"/>
    <w:rsid w:val="4C0B255B"/>
    <w:rsid w:val="4D820E01"/>
    <w:rsid w:val="4D9B3CEE"/>
    <w:rsid w:val="4EBA5260"/>
    <w:rsid w:val="4EFD1DF6"/>
    <w:rsid w:val="522F50B0"/>
    <w:rsid w:val="52567629"/>
    <w:rsid w:val="52A2414E"/>
    <w:rsid w:val="52BF5F90"/>
    <w:rsid w:val="547D2A52"/>
    <w:rsid w:val="56D32FAA"/>
    <w:rsid w:val="582B68F4"/>
    <w:rsid w:val="589323E7"/>
    <w:rsid w:val="5990529B"/>
    <w:rsid w:val="5ADD16F7"/>
    <w:rsid w:val="5AF442EF"/>
    <w:rsid w:val="5B203BCF"/>
    <w:rsid w:val="5D083F24"/>
    <w:rsid w:val="5D306324"/>
    <w:rsid w:val="5D6F7959"/>
    <w:rsid w:val="5E0B45F3"/>
    <w:rsid w:val="5E8D345A"/>
    <w:rsid w:val="5E925664"/>
    <w:rsid w:val="5F177718"/>
    <w:rsid w:val="60860A87"/>
    <w:rsid w:val="60B46440"/>
    <w:rsid w:val="61C6166E"/>
    <w:rsid w:val="622737C2"/>
    <w:rsid w:val="635C762A"/>
    <w:rsid w:val="64022A8E"/>
    <w:rsid w:val="667A6D9C"/>
    <w:rsid w:val="68FE133A"/>
    <w:rsid w:val="6EA00DEA"/>
    <w:rsid w:val="6F16166F"/>
    <w:rsid w:val="6FD93AE0"/>
    <w:rsid w:val="6FDE2204"/>
    <w:rsid w:val="711C23C5"/>
    <w:rsid w:val="71715484"/>
    <w:rsid w:val="71EA79AF"/>
    <w:rsid w:val="71FC58C7"/>
    <w:rsid w:val="7249546B"/>
    <w:rsid w:val="729F0AAD"/>
    <w:rsid w:val="75F45C0F"/>
    <w:rsid w:val="76DD2CDA"/>
    <w:rsid w:val="793D3059"/>
    <w:rsid w:val="7C7014AB"/>
    <w:rsid w:val="7D5777DD"/>
    <w:rsid w:val="7D5C4E6E"/>
    <w:rsid w:val="7DE84AEC"/>
    <w:rsid w:val="7F2D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2021-06-03T08:34:51Z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