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eastAsia="zh-CN"/>
        </w:rPr>
        <w:t>交通运输局</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襄垣县交通运输局属县政府组成部门之一，主要担负着全县农村公路规划、建设、管养、城乡客运、货物运输、出租汽车等道路运输市场管理及路政治超工作。</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（一）机构设置情况</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内设办公室、公路规划建设管理股、法规综治股、安全管理监督股、路政治超股、财务统计股、公路养管中心、工程质量监督站、项目办、总工办、纪检监察室、人教股12个职能股室。</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主要股室工作职能</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（一）办公室</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组织协调局机关日常工作。承办综合性报告、文件起草工作；组织有关重要会议、活动；承办机关文秘、政务信息、督查、机要、新闻宣传、文书档案、工程档案、保密、值班、接待、机关安全以及固定资产、小车管理维修等工作；牵头组织交通运输目标责任制考核和议案、提案办理工作；负责局机关后勤行政管理、卫生工作以及机关离退休人员管理服务工作；负责专业技术职务评聘和专业技术人员的管理工作；承担机关的人事劳资、机构编制管理工作；承办党务、纪检监察、精神文明等项工作。监督实施公路、水路安全生产政策和应急预案；指导全县交通运输行业安全生产和应急处置体系建设；承担交通基础设施建设和公路、水路运输企业安全生产的监督管理工作；负责危险化学品道路、水路运输的安全监督管理工作；依法组织或参与有关事故调查处理工作；组织协调国家重点物资运输和紧急客货运输。指导全县交通防汛、防疫、防震、消防等工作，协调全县突发公共事件交通运输保障工作。负责交通运输系统安全监督检查和责任制落实。负责专项资金、票据、决算、政府采购、信贷等有关财务工作；负责对机关及局属事业单位国有资产的监督工作；编制年度财务收支计划和决算，管好用好各种资金；组织系统财会人员的培训；搞好单位资产的监督与管理；负责收集工程各种资料；负责交通运输系统的各项统计工作。</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（二）法规综治股</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负责交通法制宣传教育；承办相关行政执法、行政复议、行政应诉和行政赔偿工作；负责交通行政执法行为监督、交通运输职业技术教育管理和交通行业技术培训工作；负责全局执法文书规范和归档工作、执法人员证件办理和年审工作、执法车辆统一管理工作、执法装备配备和更换管理工作；负责交通信访接待、综合治理、矛盾调解、维护稳定等工作。参与拟定县综合运输体系发展战略和规划，承担综合运输体系建设与发展的协调工作；承担全县道路和水路运输市场监管，指导全县道路、水路运政管理工作；承担交通枢纽、运输场站初步设计审核、建设和运营管理工作；参与道路、水路运输事故调查工作；主管城市客运管理，承担公共汽车、出租汽车、汽车租赁等监管指导工作；</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（三）规划建设管理股</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组织编制全县综合运输体系规划和发展战略，承担有关协调工作；组织起草公路、水路行业规划、中长期发展规划和专项规划；做好全县农村公路养护和公路建设资金的使用统计工作；指导交通运输枢纽和场站规划。承担公路、水路建设市场监管工作，维护公路、水路建设市场的平等竞争秩序；指导公路、水路交通安全设施建设工作；参与公路、水路年度计划和中长期发展规划的拟定工作；下达年度养护计划，检查完成情况和参与工程验收；统计上报养护综合报表；参与交通质量安全事故调查工作；主管全县农村公路建设管理工作；承担县国防动员委员会交通战备的日常工作。</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（四）路政治超股</w:t>
      </w:r>
    </w:p>
    <w:p>
      <w:pPr>
        <w:ind w:firstLine="645"/>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 xml:space="preserve">组织交通行政执法人员开展路面执法，查处违法超限超载运输车辆；负责道路货物运输源头治理工作；承担公路治超站点的规划、建设和管理；负责治超信息管理系统的建设和运行管理；主管全县农村公路路政执法工作；参与公路工程交工、竣工验收；承担全县农村公路路产路权保护工作。 </w:t>
      </w:r>
      <w:r>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t xml:space="preserve"> </w:t>
      </w:r>
    </w:p>
    <w:p>
      <w:pPr>
        <w:widowControl/>
        <w:spacing w:line="324" w:lineRule="atLeast"/>
        <w:ind w:left="540"/>
        <w:jc w:val="left"/>
        <w:rPr>
          <w:rFonts w:ascii="仿宋_GB2312" w:hAnsi="楷体" w:eastAsia="仿宋_GB2312" w:cs="宋体"/>
          <w:b w:val="0"/>
          <w:bCs/>
          <w:color w:val="333333"/>
          <w:kern w:val="0"/>
          <w:sz w:val="32"/>
          <w:szCs w:val="32"/>
        </w:rPr>
      </w:pPr>
      <w:r>
        <w:rPr>
          <w:rFonts w:hint="eastAsia" w:ascii="仿宋_GB2312" w:hAnsi="楷体" w:eastAsia="仿宋_GB2312" w:cs="宋体"/>
          <w:b w:val="0"/>
          <w:bCs/>
          <w:color w:val="333333"/>
          <w:kern w:val="0"/>
          <w:sz w:val="32"/>
          <w:szCs w:val="32"/>
        </w:rPr>
        <w:t>（二）人员情况说明</w:t>
      </w:r>
    </w:p>
    <w:p>
      <w:pPr>
        <w:ind w:firstLine="640" w:firstLineChars="200"/>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我局现有人员编制62人，其中：交通运输局编制9人，实有人员13人（含待分流3人）；公路养管中心编制43人，实有42人；工程质量监督站编制10人，实有9人。</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襄垣县交通运输局2020年度收入、支出预算总计10156.04万元，与上年相比收、支预算总计各减少11998.21万元，减少54.16%。主要原因是2020年在职人员增加，在建工程完工结算。其中：</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（一）收入预算总计10156.04万元。包括：</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1．财政拨款收入预算总计10156.04万元。</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（1）一般公共预算收入预算10156.04万元，与上年相比减少11998.21万元，减少54.16%。主要原因是2020年在职人员增加，在建工程完工结算减少等原因。</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（2）政府性基金收入预算0万元，与上年相比增加0万元，增长0%。主要原因是当年无政府性基金收入。</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2．财政专户管理资金收入预算总计0万元。与上年相比增加0万元，增长0%。主要原因是当年无财政专户管理资金收入。</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3．其他资金收入预算总计0万元。与上年相比增加0万元，增长0%。主要原因是当年无其他资金收入。</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4．上年结转资金预算数为0万元。与上年相比增加0万元，增长0%。主要原因是当年无上年结转资金。</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（二）支出预算总计10156.04万元。包括：</w:t>
      </w:r>
    </w:p>
    <w:p>
      <w:pPr>
        <w:ind w:firstLine="645"/>
        <w:rPr>
          <w:rFonts w:ascii="仿宋" w:hAnsi="仿宋" w:eastAsia="仿宋" w:cs="仿宋_GB2312"/>
          <w:color w:val="5B9BD5" w:themeColor="accent1"/>
          <w:sz w:val="32"/>
          <w:szCs w:val="32"/>
          <w14:textFill>
            <w14:solidFill>
              <w14:schemeClr w14:val="accent1"/>
            </w14:solidFill>
          </w14:textFill>
        </w:rPr>
      </w:pPr>
      <w:r>
        <w:rPr>
          <w:rFonts w:hint="eastAsia" w:ascii="仿宋" w:hAnsi="仿宋" w:eastAsia="仿宋" w:cs="仿宋_GB2312"/>
          <w:color w:val="5B9BD5" w:themeColor="accent1"/>
          <w:sz w:val="32"/>
          <w:szCs w:val="32"/>
          <w14:textFill>
            <w14:solidFill>
              <w14:schemeClr w14:val="accent1"/>
            </w14:solidFill>
          </w14:textFill>
        </w:rPr>
        <w:t>1．社会保障和就业（类）支出</w:t>
      </w:r>
      <w:r>
        <w:rPr>
          <w:rFonts w:hint="eastAsia" w:ascii="仿宋" w:hAnsi="仿宋" w:eastAsia="仿宋" w:cs="仿宋_GB2312"/>
          <w:color w:val="5B9BD5" w:themeColor="accent1"/>
          <w:sz w:val="32"/>
          <w:szCs w:val="32"/>
          <w:lang w:val="en-US" w:eastAsia="zh-CN"/>
          <w14:textFill>
            <w14:solidFill>
              <w14:schemeClr w14:val="accent1"/>
            </w14:solidFill>
          </w14:textFill>
        </w:rPr>
        <w:t>13.90</w:t>
      </w:r>
      <w:r>
        <w:rPr>
          <w:rFonts w:hint="eastAsia" w:ascii="仿宋" w:hAnsi="仿宋" w:eastAsia="仿宋" w:cs="仿宋_GB2312"/>
          <w:color w:val="5B9BD5" w:themeColor="accent1"/>
          <w:sz w:val="32"/>
          <w:szCs w:val="32"/>
          <w14:textFill>
            <w14:solidFill>
              <w14:schemeClr w14:val="accent1"/>
            </w14:solidFill>
          </w14:textFill>
        </w:rPr>
        <w:t>万元，主要用于人员养老保险和职业年金支出。与上年相比</w:t>
      </w:r>
      <w:r>
        <w:rPr>
          <w:rFonts w:hint="eastAsia" w:ascii="仿宋" w:hAnsi="仿宋" w:eastAsia="仿宋" w:cs="仿宋_GB2312"/>
          <w:color w:val="5B9BD5" w:themeColor="accent1"/>
          <w:sz w:val="32"/>
          <w:szCs w:val="32"/>
          <w:lang w:eastAsia="zh-CN"/>
          <w14:textFill>
            <w14:solidFill>
              <w14:schemeClr w14:val="accent1"/>
            </w14:solidFill>
          </w14:textFill>
        </w:rPr>
        <w:t>增加</w:t>
      </w:r>
      <w:r>
        <w:rPr>
          <w:rFonts w:hint="eastAsia" w:ascii="仿宋" w:hAnsi="仿宋" w:eastAsia="仿宋" w:cs="仿宋_GB2312"/>
          <w:color w:val="5B9BD5" w:themeColor="accent1"/>
          <w:sz w:val="32"/>
          <w:szCs w:val="32"/>
          <w:lang w:val="en-US" w:eastAsia="zh-CN"/>
          <w14:textFill>
            <w14:solidFill>
              <w14:schemeClr w14:val="accent1"/>
            </w14:solidFill>
          </w14:textFill>
        </w:rPr>
        <w:t>1.04</w:t>
      </w:r>
      <w:r>
        <w:rPr>
          <w:rFonts w:hint="eastAsia" w:ascii="仿宋" w:hAnsi="仿宋" w:eastAsia="仿宋" w:cs="仿宋_GB2312"/>
          <w:color w:val="5B9BD5" w:themeColor="accent1"/>
          <w:sz w:val="32"/>
          <w:szCs w:val="32"/>
          <w14:textFill>
            <w14:solidFill>
              <w14:schemeClr w14:val="accent1"/>
            </w14:solidFill>
          </w14:textFill>
        </w:rPr>
        <w:t>万元，</w:t>
      </w:r>
      <w:r>
        <w:rPr>
          <w:rFonts w:hint="eastAsia" w:ascii="仿宋" w:hAnsi="仿宋" w:eastAsia="仿宋" w:cs="仿宋_GB2312"/>
          <w:color w:val="5B9BD5" w:themeColor="accent1"/>
          <w:sz w:val="32"/>
          <w:szCs w:val="32"/>
          <w:lang w:eastAsia="zh-CN"/>
          <w14:textFill>
            <w14:solidFill>
              <w14:schemeClr w14:val="accent1"/>
            </w14:solidFill>
          </w14:textFill>
        </w:rPr>
        <w:t>增加</w:t>
      </w:r>
      <w:r>
        <w:rPr>
          <w:rFonts w:hint="eastAsia" w:ascii="仿宋" w:hAnsi="仿宋" w:eastAsia="仿宋" w:cs="仿宋_GB2312"/>
          <w:color w:val="5B9BD5" w:themeColor="accent1"/>
          <w:sz w:val="32"/>
          <w:szCs w:val="32"/>
          <w:lang w:val="en-US" w:eastAsia="zh-CN"/>
          <w14:textFill>
            <w14:solidFill>
              <w14:schemeClr w14:val="accent1"/>
            </w14:solidFill>
          </w14:textFill>
        </w:rPr>
        <w:t>8.12</w:t>
      </w:r>
      <w:r>
        <w:rPr>
          <w:rFonts w:hint="eastAsia" w:ascii="仿宋" w:hAnsi="仿宋" w:eastAsia="仿宋" w:cs="仿宋_GB2312"/>
          <w:color w:val="5B9BD5" w:themeColor="accent1"/>
          <w:sz w:val="32"/>
          <w:szCs w:val="32"/>
          <w14:textFill>
            <w14:solidFill>
              <w14:schemeClr w14:val="accent1"/>
            </w14:solidFill>
          </w14:textFill>
        </w:rPr>
        <w:t>%。主要原因是</w:t>
      </w:r>
      <w:r>
        <w:rPr>
          <w:rFonts w:hint="eastAsia" w:ascii="仿宋" w:hAnsi="仿宋" w:eastAsia="仿宋" w:cs="仿宋_GB2312"/>
          <w:color w:val="5B9BD5" w:themeColor="accent1"/>
          <w:sz w:val="32"/>
          <w:szCs w:val="32"/>
          <w:lang w:eastAsia="zh-CN"/>
          <w14:textFill>
            <w14:solidFill>
              <w14:schemeClr w14:val="accent1"/>
            </w14:solidFill>
          </w14:textFill>
        </w:rPr>
        <w:t>当年有人员调入</w:t>
      </w:r>
      <w:r>
        <w:rPr>
          <w:rFonts w:hint="eastAsia" w:ascii="仿宋" w:hAnsi="仿宋" w:eastAsia="仿宋" w:cs="仿宋_GB2312"/>
          <w:color w:val="5B9BD5" w:themeColor="accent1"/>
          <w:sz w:val="32"/>
          <w:szCs w:val="32"/>
          <w14:textFill>
            <w14:solidFill>
              <w14:schemeClr w14:val="accent1"/>
            </w14:solidFill>
          </w14:textFill>
        </w:rPr>
        <w:t>。</w:t>
      </w:r>
    </w:p>
    <w:p>
      <w:pPr>
        <w:ind w:firstLine="645"/>
        <w:rPr>
          <w:rFonts w:ascii="仿宋" w:hAnsi="仿宋" w:eastAsia="仿宋" w:cs="仿宋_GB2312"/>
          <w:color w:val="5B9BD5" w:themeColor="accent1"/>
          <w:sz w:val="32"/>
          <w:szCs w:val="32"/>
          <w14:textFill>
            <w14:solidFill>
              <w14:schemeClr w14:val="accent1"/>
            </w14:solidFill>
          </w14:textFill>
        </w:rPr>
      </w:pPr>
      <w:r>
        <w:rPr>
          <w:rFonts w:hint="eastAsia" w:ascii="仿宋" w:hAnsi="仿宋" w:eastAsia="仿宋" w:cs="仿宋_GB2312"/>
          <w:color w:val="5B9BD5" w:themeColor="accent1"/>
          <w:sz w:val="32"/>
          <w:szCs w:val="32"/>
          <w14:textFill>
            <w14:solidFill>
              <w14:schemeClr w14:val="accent1"/>
            </w14:solidFill>
          </w14:textFill>
        </w:rPr>
        <w:t>2．卫生健康（类）支出</w:t>
      </w:r>
      <w:r>
        <w:rPr>
          <w:rFonts w:hint="eastAsia" w:ascii="仿宋" w:hAnsi="仿宋" w:eastAsia="仿宋" w:cs="仿宋_GB2312"/>
          <w:color w:val="5B9BD5" w:themeColor="accent1"/>
          <w:sz w:val="32"/>
          <w:szCs w:val="32"/>
          <w:lang w:val="en-US" w:eastAsia="zh-CN"/>
          <w14:textFill>
            <w14:solidFill>
              <w14:schemeClr w14:val="accent1"/>
            </w14:solidFill>
          </w14:textFill>
        </w:rPr>
        <w:t>4.51</w:t>
      </w:r>
      <w:r>
        <w:rPr>
          <w:rFonts w:hint="eastAsia" w:ascii="仿宋" w:hAnsi="仿宋" w:eastAsia="仿宋" w:cs="仿宋_GB2312"/>
          <w:color w:val="5B9BD5" w:themeColor="accent1"/>
          <w:sz w:val="32"/>
          <w:szCs w:val="32"/>
          <w14:textFill>
            <w14:solidFill>
              <w14:schemeClr w14:val="accent1"/>
            </w14:solidFill>
          </w14:textFill>
        </w:rPr>
        <w:t>万元，主要用于人员医疗保险支出。与上年相比</w:t>
      </w:r>
      <w:r>
        <w:rPr>
          <w:rFonts w:hint="eastAsia" w:ascii="仿宋" w:hAnsi="仿宋" w:eastAsia="仿宋" w:cs="仿宋_GB2312"/>
          <w:color w:val="5B9BD5" w:themeColor="accent1"/>
          <w:sz w:val="32"/>
          <w:szCs w:val="32"/>
          <w:lang w:eastAsia="zh-CN"/>
          <w14:textFill>
            <w14:solidFill>
              <w14:schemeClr w14:val="accent1"/>
            </w14:solidFill>
          </w14:textFill>
        </w:rPr>
        <w:t>增加</w:t>
      </w:r>
      <w:r>
        <w:rPr>
          <w:rFonts w:hint="eastAsia" w:ascii="仿宋" w:hAnsi="仿宋" w:eastAsia="仿宋" w:cs="仿宋_GB2312"/>
          <w:color w:val="5B9BD5" w:themeColor="accent1"/>
          <w:sz w:val="32"/>
          <w:szCs w:val="32"/>
          <w:lang w:val="en-US" w:eastAsia="zh-CN"/>
          <w14:textFill>
            <w14:solidFill>
              <w14:schemeClr w14:val="accent1"/>
            </w14:solidFill>
          </w14:textFill>
        </w:rPr>
        <w:t>0.96</w:t>
      </w:r>
      <w:r>
        <w:rPr>
          <w:rFonts w:hint="eastAsia" w:ascii="仿宋" w:hAnsi="仿宋" w:eastAsia="仿宋" w:cs="仿宋_GB2312"/>
          <w:color w:val="5B9BD5" w:themeColor="accent1"/>
          <w:sz w:val="32"/>
          <w:szCs w:val="32"/>
          <w14:textFill>
            <w14:solidFill>
              <w14:schemeClr w14:val="accent1"/>
            </w14:solidFill>
          </w14:textFill>
        </w:rPr>
        <w:t>万元，</w:t>
      </w:r>
      <w:r>
        <w:rPr>
          <w:rFonts w:hint="eastAsia" w:ascii="仿宋" w:hAnsi="仿宋" w:eastAsia="仿宋" w:cs="仿宋_GB2312"/>
          <w:color w:val="5B9BD5" w:themeColor="accent1"/>
          <w:sz w:val="32"/>
          <w:szCs w:val="32"/>
          <w:lang w:eastAsia="zh-CN"/>
          <w14:textFill>
            <w14:solidFill>
              <w14:schemeClr w14:val="accent1"/>
            </w14:solidFill>
          </w14:textFill>
        </w:rPr>
        <w:t>增加</w:t>
      </w:r>
      <w:r>
        <w:rPr>
          <w:rFonts w:hint="eastAsia" w:ascii="仿宋" w:hAnsi="仿宋" w:eastAsia="仿宋" w:cs="仿宋_GB2312"/>
          <w:color w:val="5B9BD5" w:themeColor="accent1"/>
          <w:sz w:val="32"/>
          <w:szCs w:val="32"/>
          <w:lang w:val="en-US" w:eastAsia="zh-CN"/>
          <w14:textFill>
            <w14:solidFill>
              <w14:schemeClr w14:val="accent1"/>
            </w14:solidFill>
          </w14:textFill>
        </w:rPr>
        <w:t>27.10</w:t>
      </w:r>
      <w:r>
        <w:rPr>
          <w:rFonts w:hint="eastAsia" w:ascii="仿宋" w:hAnsi="仿宋" w:eastAsia="仿宋" w:cs="仿宋_GB2312"/>
          <w:color w:val="5B9BD5" w:themeColor="accent1"/>
          <w:sz w:val="32"/>
          <w:szCs w:val="32"/>
          <w14:textFill>
            <w14:solidFill>
              <w14:schemeClr w14:val="accent1"/>
            </w14:solidFill>
          </w14:textFill>
        </w:rPr>
        <w:t>%。主要原因是</w:t>
      </w:r>
      <w:r>
        <w:rPr>
          <w:rFonts w:hint="eastAsia" w:ascii="仿宋" w:hAnsi="仿宋" w:eastAsia="仿宋" w:cs="仿宋_GB2312"/>
          <w:color w:val="5B9BD5" w:themeColor="accent1"/>
          <w:sz w:val="32"/>
          <w:szCs w:val="32"/>
          <w:lang w:eastAsia="zh-CN"/>
          <w14:textFill>
            <w14:solidFill>
              <w14:schemeClr w14:val="accent1"/>
            </w14:solidFill>
          </w14:textFill>
        </w:rPr>
        <w:t>当年有人员调入</w:t>
      </w:r>
      <w:r>
        <w:rPr>
          <w:rFonts w:hint="eastAsia" w:ascii="仿宋" w:hAnsi="仿宋" w:eastAsia="仿宋" w:cs="仿宋_GB2312"/>
          <w:color w:val="5B9BD5" w:themeColor="accent1"/>
          <w:sz w:val="32"/>
          <w:szCs w:val="32"/>
          <w14:textFill>
            <w14:solidFill>
              <w14:schemeClr w14:val="accent1"/>
            </w14:solidFill>
          </w14:textFill>
        </w:rPr>
        <w:t>。</w:t>
      </w:r>
    </w:p>
    <w:p>
      <w:pPr>
        <w:ind w:firstLine="645"/>
        <w:rPr>
          <w:rFonts w:ascii="仿宋" w:hAnsi="仿宋" w:eastAsia="仿宋" w:cs="仿宋_GB2312"/>
          <w:color w:val="5B9BD5" w:themeColor="accent1"/>
          <w:sz w:val="32"/>
          <w:szCs w:val="32"/>
          <w14:textFill>
            <w14:solidFill>
              <w14:schemeClr w14:val="accent1"/>
            </w14:solidFill>
          </w14:textFill>
        </w:rPr>
      </w:pPr>
      <w:r>
        <w:rPr>
          <w:rFonts w:hint="eastAsia" w:ascii="仿宋" w:hAnsi="仿宋" w:eastAsia="仿宋" w:cs="仿宋_GB2312"/>
          <w:color w:val="5B9BD5" w:themeColor="accent1"/>
          <w:sz w:val="32"/>
          <w:szCs w:val="32"/>
          <w14:textFill>
            <w14:solidFill>
              <w14:schemeClr w14:val="accent1"/>
            </w14:solidFill>
          </w14:textFill>
        </w:rPr>
        <w:t>3．交通运输（类）支出</w:t>
      </w:r>
      <w:r>
        <w:rPr>
          <w:rFonts w:hint="eastAsia" w:ascii="仿宋" w:hAnsi="仿宋" w:eastAsia="仿宋" w:cs="仿宋_GB2312"/>
          <w:color w:val="5B9BD5" w:themeColor="accent1"/>
          <w:sz w:val="32"/>
          <w:szCs w:val="32"/>
          <w:lang w:val="en-US" w:eastAsia="zh-CN"/>
          <w14:textFill>
            <w14:solidFill>
              <w14:schemeClr w14:val="accent1"/>
            </w14:solidFill>
          </w14:textFill>
        </w:rPr>
        <w:t>10130.55</w:t>
      </w:r>
      <w:r>
        <w:rPr>
          <w:rFonts w:hint="eastAsia" w:ascii="仿宋" w:hAnsi="仿宋" w:eastAsia="仿宋" w:cs="仿宋_GB2312"/>
          <w:color w:val="5B9BD5" w:themeColor="accent1"/>
          <w:sz w:val="32"/>
          <w:szCs w:val="32"/>
          <w14:textFill>
            <w14:solidFill>
              <w14:schemeClr w14:val="accent1"/>
            </w14:solidFill>
          </w14:textFill>
        </w:rPr>
        <w:t>万元，主要用于工程项目完工决算支出。与上年相比</w:t>
      </w:r>
      <w:r>
        <w:rPr>
          <w:rFonts w:hint="eastAsia" w:ascii="仿宋" w:hAnsi="仿宋" w:eastAsia="仿宋" w:cs="仿宋_GB2312"/>
          <w:color w:val="5B9BD5" w:themeColor="accent1"/>
          <w:sz w:val="32"/>
          <w:szCs w:val="32"/>
          <w:lang w:eastAsia="zh-CN"/>
          <w14:textFill>
            <w14:solidFill>
              <w14:schemeClr w14:val="accent1"/>
            </w14:solidFill>
          </w14:textFill>
        </w:rPr>
        <w:t>减少</w:t>
      </w:r>
      <w:r>
        <w:rPr>
          <w:rFonts w:hint="eastAsia" w:ascii="仿宋" w:hAnsi="仿宋" w:eastAsia="仿宋" w:cs="仿宋_GB2312"/>
          <w:color w:val="5B9BD5" w:themeColor="accent1"/>
          <w:sz w:val="32"/>
          <w:szCs w:val="32"/>
          <w:lang w:val="en-US" w:eastAsia="zh-CN"/>
          <w14:textFill>
            <w14:solidFill>
              <w14:schemeClr w14:val="accent1"/>
            </w14:solidFill>
          </w14:textFill>
        </w:rPr>
        <w:t>12001.96</w:t>
      </w:r>
      <w:r>
        <w:rPr>
          <w:rFonts w:hint="eastAsia" w:ascii="仿宋" w:hAnsi="仿宋" w:eastAsia="仿宋" w:cs="仿宋_GB2312"/>
          <w:color w:val="5B9BD5" w:themeColor="accent1"/>
          <w:sz w:val="32"/>
          <w:szCs w:val="32"/>
          <w14:textFill>
            <w14:solidFill>
              <w14:schemeClr w14:val="accent1"/>
            </w14:solidFill>
          </w14:textFill>
        </w:rPr>
        <w:t>万元，</w:t>
      </w:r>
      <w:r>
        <w:rPr>
          <w:rFonts w:hint="eastAsia" w:ascii="仿宋" w:hAnsi="仿宋" w:eastAsia="仿宋" w:cs="仿宋_GB2312"/>
          <w:color w:val="5B9BD5" w:themeColor="accent1"/>
          <w:sz w:val="32"/>
          <w:szCs w:val="32"/>
          <w:lang w:eastAsia="zh-CN"/>
          <w14:textFill>
            <w14:solidFill>
              <w14:schemeClr w14:val="accent1"/>
            </w14:solidFill>
          </w14:textFill>
        </w:rPr>
        <w:t>减少</w:t>
      </w:r>
      <w:r>
        <w:rPr>
          <w:rFonts w:hint="eastAsia" w:ascii="仿宋" w:hAnsi="仿宋" w:eastAsia="仿宋" w:cs="仿宋_GB2312"/>
          <w:color w:val="5B9BD5" w:themeColor="accent1"/>
          <w:sz w:val="32"/>
          <w:szCs w:val="32"/>
          <w:lang w:val="en-US" w:eastAsia="zh-CN"/>
          <w14:textFill>
            <w14:solidFill>
              <w14:schemeClr w14:val="accent1"/>
            </w14:solidFill>
          </w14:textFill>
        </w:rPr>
        <w:t>54.23</w:t>
      </w:r>
      <w:r>
        <w:rPr>
          <w:rFonts w:hint="eastAsia" w:ascii="仿宋" w:hAnsi="仿宋" w:eastAsia="仿宋" w:cs="仿宋_GB2312"/>
          <w:color w:val="5B9BD5" w:themeColor="accent1"/>
          <w:sz w:val="32"/>
          <w:szCs w:val="32"/>
          <w14:textFill>
            <w14:solidFill>
              <w14:schemeClr w14:val="accent1"/>
            </w14:solidFill>
          </w14:textFill>
        </w:rPr>
        <w:t>%。主要原因是当年</w:t>
      </w:r>
      <w:r>
        <w:rPr>
          <w:rFonts w:hint="eastAsia" w:ascii="仿宋" w:hAnsi="仿宋" w:eastAsia="仿宋" w:cs="仿宋_GB2312"/>
          <w:color w:val="5B9BD5" w:themeColor="accent1"/>
          <w:sz w:val="32"/>
          <w:szCs w:val="32"/>
          <w:lang w:eastAsia="zh-CN"/>
          <w14:textFill>
            <w14:solidFill>
              <w14:schemeClr w14:val="accent1"/>
            </w14:solidFill>
          </w14:textFill>
        </w:rPr>
        <w:t>完工项目结算减少</w:t>
      </w:r>
      <w:r>
        <w:rPr>
          <w:rFonts w:hint="eastAsia" w:ascii="仿宋" w:hAnsi="仿宋" w:eastAsia="仿宋" w:cs="仿宋_GB2312"/>
          <w:color w:val="5B9BD5" w:themeColor="accent1"/>
          <w:sz w:val="32"/>
          <w:szCs w:val="32"/>
          <w14:textFill>
            <w14:solidFill>
              <w14:schemeClr w14:val="accent1"/>
            </w14:solidFill>
          </w14:textFill>
        </w:rPr>
        <w:t>。</w:t>
      </w:r>
    </w:p>
    <w:p>
      <w:pPr>
        <w:ind w:firstLine="645"/>
        <w:rPr>
          <w:rFonts w:ascii="仿宋" w:hAnsi="仿宋" w:eastAsia="仿宋" w:cs="仿宋_GB2312"/>
          <w:color w:val="5B9BD5" w:themeColor="accent1"/>
          <w:sz w:val="32"/>
          <w:szCs w:val="32"/>
          <w14:textFill>
            <w14:solidFill>
              <w14:schemeClr w14:val="accent1"/>
            </w14:solidFill>
          </w14:textFill>
        </w:rPr>
      </w:pPr>
      <w:r>
        <w:rPr>
          <w:rFonts w:hint="eastAsia" w:ascii="仿宋" w:hAnsi="仿宋" w:eastAsia="仿宋" w:cs="仿宋_GB2312"/>
          <w:color w:val="5B9BD5" w:themeColor="accent1"/>
          <w:sz w:val="32"/>
          <w:szCs w:val="32"/>
          <w14:textFill>
            <w14:solidFill>
              <w14:schemeClr w14:val="accent1"/>
            </w14:solidFill>
          </w14:textFill>
        </w:rPr>
        <w:t>4．住房保障（类）支出</w:t>
      </w:r>
      <w:r>
        <w:rPr>
          <w:rFonts w:hint="eastAsia" w:ascii="仿宋" w:hAnsi="仿宋" w:eastAsia="仿宋" w:cs="仿宋_GB2312"/>
          <w:color w:val="5B9BD5" w:themeColor="accent1"/>
          <w:sz w:val="32"/>
          <w:szCs w:val="32"/>
          <w:lang w:val="en-US" w:eastAsia="zh-CN"/>
          <w14:textFill>
            <w14:solidFill>
              <w14:schemeClr w14:val="accent1"/>
            </w14:solidFill>
          </w14:textFill>
        </w:rPr>
        <w:t>7.09</w:t>
      </w:r>
      <w:r>
        <w:rPr>
          <w:rFonts w:hint="eastAsia" w:ascii="仿宋" w:hAnsi="仿宋" w:eastAsia="仿宋" w:cs="仿宋_GB2312"/>
          <w:color w:val="5B9BD5" w:themeColor="accent1"/>
          <w:sz w:val="32"/>
          <w:szCs w:val="32"/>
          <w14:textFill>
            <w14:solidFill>
              <w14:schemeClr w14:val="accent1"/>
            </w14:solidFill>
          </w14:textFill>
        </w:rPr>
        <w:t>万元，主要用于人员住房公积金支出。与上年相比</w:t>
      </w:r>
      <w:r>
        <w:rPr>
          <w:rFonts w:hint="eastAsia" w:ascii="仿宋" w:hAnsi="仿宋" w:eastAsia="仿宋" w:cs="仿宋_GB2312"/>
          <w:color w:val="5B9BD5" w:themeColor="accent1"/>
          <w:sz w:val="32"/>
          <w:szCs w:val="32"/>
          <w:lang w:eastAsia="zh-CN"/>
          <w14:textFill>
            <w14:solidFill>
              <w14:schemeClr w14:val="accent1"/>
            </w14:solidFill>
          </w14:textFill>
        </w:rPr>
        <w:t>增加</w:t>
      </w:r>
      <w:r>
        <w:rPr>
          <w:rFonts w:hint="eastAsia" w:ascii="仿宋" w:hAnsi="仿宋" w:eastAsia="仿宋" w:cs="仿宋_GB2312"/>
          <w:color w:val="5B9BD5" w:themeColor="accent1"/>
          <w:sz w:val="32"/>
          <w:szCs w:val="32"/>
          <w:lang w:val="en-US" w:eastAsia="zh-CN"/>
          <w14:textFill>
            <w14:solidFill>
              <w14:schemeClr w14:val="accent1"/>
            </w14:solidFill>
          </w14:textFill>
        </w:rPr>
        <w:t>1.74</w:t>
      </w:r>
      <w:r>
        <w:rPr>
          <w:rFonts w:hint="eastAsia" w:ascii="仿宋" w:hAnsi="仿宋" w:eastAsia="仿宋" w:cs="仿宋_GB2312"/>
          <w:color w:val="5B9BD5" w:themeColor="accent1"/>
          <w:sz w:val="32"/>
          <w:szCs w:val="32"/>
          <w14:textFill>
            <w14:solidFill>
              <w14:schemeClr w14:val="accent1"/>
            </w14:solidFill>
          </w14:textFill>
        </w:rPr>
        <w:t>万元，</w:t>
      </w:r>
      <w:r>
        <w:rPr>
          <w:rFonts w:hint="eastAsia" w:ascii="仿宋" w:hAnsi="仿宋" w:eastAsia="仿宋" w:cs="仿宋_GB2312"/>
          <w:color w:val="5B9BD5" w:themeColor="accent1"/>
          <w:sz w:val="32"/>
          <w:szCs w:val="32"/>
          <w:lang w:eastAsia="zh-CN"/>
          <w14:textFill>
            <w14:solidFill>
              <w14:schemeClr w14:val="accent1"/>
            </w14:solidFill>
          </w14:textFill>
        </w:rPr>
        <w:t>增加</w:t>
      </w:r>
      <w:r>
        <w:rPr>
          <w:rFonts w:hint="eastAsia" w:ascii="仿宋" w:hAnsi="仿宋" w:eastAsia="仿宋" w:cs="仿宋_GB2312"/>
          <w:color w:val="5B9BD5" w:themeColor="accent1"/>
          <w:sz w:val="32"/>
          <w:szCs w:val="32"/>
          <w:lang w:val="en-US" w:eastAsia="zh-CN"/>
          <w14:textFill>
            <w14:solidFill>
              <w14:schemeClr w14:val="accent1"/>
            </w14:solidFill>
          </w14:textFill>
        </w:rPr>
        <w:t>32.52</w:t>
      </w:r>
      <w:r>
        <w:rPr>
          <w:rFonts w:hint="eastAsia" w:ascii="仿宋" w:hAnsi="仿宋" w:eastAsia="仿宋" w:cs="仿宋_GB2312"/>
          <w:color w:val="5B9BD5" w:themeColor="accent1"/>
          <w:sz w:val="32"/>
          <w:szCs w:val="32"/>
          <w14:textFill>
            <w14:solidFill>
              <w14:schemeClr w14:val="accent1"/>
            </w14:solidFill>
          </w14:textFill>
        </w:rPr>
        <w:t>%。主要原因是</w:t>
      </w:r>
      <w:r>
        <w:rPr>
          <w:rFonts w:hint="eastAsia" w:ascii="仿宋" w:hAnsi="仿宋" w:eastAsia="仿宋" w:cs="仿宋_GB2312"/>
          <w:color w:val="5B9BD5" w:themeColor="accent1"/>
          <w:sz w:val="32"/>
          <w:szCs w:val="32"/>
          <w:lang w:eastAsia="zh-CN"/>
          <w14:textFill>
            <w14:solidFill>
              <w14:schemeClr w14:val="accent1"/>
            </w14:solidFill>
          </w14:textFill>
        </w:rPr>
        <w:t>当年有人员调入</w:t>
      </w:r>
      <w:r>
        <w:rPr>
          <w:rFonts w:hint="eastAsia" w:ascii="仿宋" w:hAnsi="仿宋" w:eastAsia="仿宋" w:cs="仿宋_GB2312"/>
          <w:color w:val="5B9BD5" w:themeColor="accent1"/>
          <w:sz w:val="32"/>
          <w:szCs w:val="32"/>
          <w14:textFill>
            <w14:solidFill>
              <w14:schemeClr w14:val="accent1"/>
            </w14:solidFill>
          </w14:textFill>
        </w:rPr>
        <w:t>。</w:t>
      </w:r>
    </w:p>
    <w:p>
      <w:pPr>
        <w:ind w:firstLine="645"/>
        <w:rPr>
          <w:rFonts w:ascii="仿宋" w:hAnsi="仿宋" w:eastAsia="仿宋" w:cs="仿宋_GB2312"/>
          <w:color w:val="5B9BD5" w:themeColor="accent1"/>
          <w:sz w:val="32"/>
          <w:szCs w:val="32"/>
          <w14:textFill>
            <w14:solidFill>
              <w14:schemeClr w14:val="accent1"/>
            </w14:solidFill>
          </w14:textFill>
        </w:rPr>
      </w:pPr>
      <w:r>
        <w:rPr>
          <w:rFonts w:hint="eastAsia" w:ascii="仿宋" w:hAnsi="仿宋" w:eastAsia="仿宋" w:cs="仿宋_GB2312"/>
          <w:color w:val="5B9BD5" w:themeColor="accent1"/>
          <w:sz w:val="32"/>
          <w:szCs w:val="32"/>
          <w14:textFill>
            <w14:solidFill>
              <w14:schemeClr w14:val="accent1"/>
            </w14:solidFill>
          </w14:textFill>
        </w:rPr>
        <w:t>5．结转下年资金预算数为0万元，主要原因是当年无结转下年资金。</w:t>
      </w:r>
    </w:p>
    <w:p>
      <w:pPr>
        <w:ind w:firstLine="645"/>
        <w:rPr>
          <w:rFonts w:ascii="仿宋" w:hAnsi="仿宋" w:eastAsia="仿宋" w:cs="仿宋_GB2312"/>
          <w:color w:val="5B9BD5" w:themeColor="accent1"/>
          <w:sz w:val="32"/>
          <w:szCs w:val="32"/>
          <w14:textFill>
            <w14:solidFill>
              <w14:schemeClr w14:val="accent1"/>
            </w14:solidFill>
          </w14:textFill>
        </w:rPr>
      </w:pPr>
      <w:r>
        <w:rPr>
          <w:rFonts w:hint="eastAsia" w:ascii="仿宋" w:hAnsi="仿宋" w:eastAsia="仿宋" w:cs="仿宋_GB2312"/>
          <w:color w:val="5B9BD5" w:themeColor="accent1"/>
          <w:sz w:val="32"/>
          <w:szCs w:val="32"/>
          <w14:textFill>
            <w14:solidFill>
              <w14:schemeClr w14:val="accent1"/>
            </w14:solidFill>
          </w14:textFill>
        </w:rPr>
        <w:t>此外，基本支出预算数为</w:t>
      </w:r>
      <w:r>
        <w:rPr>
          <w:rFonts w:hint="eastAsia" w:ascii="仿宋" w:hAnsi="仿宋" w:eastAsia="仿宋" w:cs="仿宋_GB2312"/>
          <w:color w:val="5B9BD5" w:themeColor="accent1"/>
          <w:sz w:val="32"/>
          <w:szCs w:val="32"/>
          <w:lang w:val="en-US" w:eastAsia="zh-CN"/>
          <w14:textFill>
            <w14:solidFill>
              <w14:schemeClr w14:val="accent1"/>
            </w14:solidFill>
          </w14:textFill>
        </w:rPr>
        <w:t>105.18</w:t>
      </w:r>
      <w:r>
        <w:rPr>
          <w:rFonts w:hint="eastAsia" w:ascii="仿宋" w:hAnsi="仿宋" w:eastAsia="仿宋" w:cs="仿宋_GB2312"/>
          <w:color w:val="5B9BD5" w:themeColor="accent1"/>
          <w:sz w:val="32"/>
          <w:szCs w:val="32"/>
          <w14:textFill>
            <w14:solidFill>
              <w14:schemeClr w14:val="accent1"/>
            </w14:solidFill>
          </w14:textFill>
        </w:rPr>
        <w:t>万元。与上年相比</w:t>
      </w:r>
      <w:r>
        <w:rPr>
          <w:rFonts w:hint="eastAsia" w:ascii="仿宋" w:hAnsi="仿宋" w:eastAsia="仿宋" w:cs="仿宋_GB2312"/>
          <w:color w:val="5B9BD5" w:themeColor="accent1"/>
          <w:sz w:val="32"/>
          <w:szCs w:val="32"/>
          <w:lang w:eastAsia="zh-CN"/>
          <w14:textFill>
            <w14:solidFill>
              <w14:schemeClr w14:val="accent1"/>
            </w14:solidFill>
          </w14:textFill>
        </w:rPr>
        <w:t>增加</w:t>
      </w:r>
      <w:r>
        <w:rPr>
          <w:rFonts w:hint="eastAsia" w:ascii="仿宋" w:hAnsi="仿宋" w:eastAsia="仿宋" w:cs="仿宋_GB2312"/>
          <w:color w:val="5B9BD5" w:themeColor="accent1"/>
          <w:sz w:val="32"/>
          <w:szCs w:val="32"/>
          <w:lang w:val="en-US" w:eastAsia="zh-CN"/>
          <w14:textFill>
            <w14:solidFill>
              <w14:schemeClr w14:val="accent1"/>
            </w14:solidFill>
          </w14:textFill>
        </w:rPr>
        <w:t>15.2</w:t>
      </w:r>
      <w:r>
        <w:rPr>
          <w:rFonts w:hint="eastAsia" w:ascii="仿宋" w:hAnsi="仿宋" w:eastAsia="仿宋" w:cs="仿宋_GB2312"/>
          <w:color w:val="5B9BD5" w:themeColor="accent1"/>
          <w:sz w:val="32"/>
          <w:szCs w:val="32"/>
          <w14:textFill>
            <w14:solidFill>
              <w14:schemeClr w14:val="accent1"/>
            </w14:solidFill>
          </w14:textFill>
        </w:rPr>
        <w:t>万元，增长</w:t>
      </w:r>
      <w:r>
        <w:rPr>
          <w:rFonts w:hint="eastAsia" w:ascii="仿宋" w:hAnsi="仿宋" w:eastAsia="仿宋" w:cs="仿宋_GB2312"/>
          <w:color w:val="5B9BD5" w:themeColor="accent1"/>
          <w:sz w:val="32"/>
          <w:szCs w:val="32"/>
          <w:lang w:val="en-US" w:eastAsia="zh-CN"/>
          <w14:textFill>
            <w14:solidFill>
              <w14:schemeClr w14:val="accent1"/>
            </w14:solidFill>
          </w14:textFill>
        </w:rPr>
        <w:t>16.89</w:t>
      </w:r>
      <w:r>
        <w:rPr>
          <w:rFonts w:hint="eastAsia" w:ascii="仿宋" w:hAnsi="仿宋" w:eastAsia="仿宋" w:cs="仿宋_GB2312"/>
          <w:color w:val="5B9BD5" w:themeColor="accent1"/>
          <w:sz w:val="32"/>
          <w:szCs w:val="32"/>
          <w14:textFill>
            <w14:solidFill>
              <w14:schemeClr w14:val="accent1"/>
            </w14:solidFill>
          </w14:textFill>
        </w:rPr>
        <w:t>%。主要原因是当年有人员调入。</w:t>
      </w:r>
    </w:p>
    <w:p>
      <w:pPr>
        <w:ind w:firstLine="645"/>
        <w:rPr>
          <w:rFonts w:ascii="仿宋" w:hAnsi="仿宋" w:eastAsia="仿宋" w:cs="仿宋_GB2312"/>
          <w:color w:val="5B9BD5" w:themeColor="accent1"/>
          <w:sz w:val="32"/>
          <w:szCs w:val="32"/>
          <w14:textFill>
            <w14:solidFill>
              <w14:schemeClr w14:val="accent1"/>
            </w14:solidFill>
          </w14:textFill>
        </w:rPr>
      </w:pPr>
      <w:r>
        <w:rPr>
          <w:rFonts w:hint="eastAsia" w:ascii="仿宋" w:hAnsi="仿宋" w:eastAsia="仿宋" w:cs="仿宋_GB2312"/>
          <w:color w:val="5B9BD5" w:themeColor="accent1"/>
          <w:sz w:val="32"/>
          <w:szCs w:val="32"/>
          <w14:textFill>
            <w14:solidFill>
              <w14:schemeClr w14:val="accent1"/>
            </w14:solidFill>
          </w14:textFill>
        </w:rPr>
        <w:t>项目支出预算数为</w:t>
      </w:r>
      <w:r>
        <w:rPr>
          <w:rFonts w:hint="eastAsia" w:ascii="仿宋" w:hAnsi="仿宋" w:eastAsia="仿宋" w:cs="仿宋_GB2312"/>
          <w:color w:val="5B9BD5" w:themeColor="accent1"/>
          <w:sz w:val="32"/>
          <w:szCs w:val="32"/>
          <w:lang w:val="en-US" w:eastAsia="zh-CN"/>
          <w14:textFill>
            <w14:solidFill>
              <w14:schemeClr w14:val="accent1"/>
            </w14:solidFill>
          </w14:textFill>
        </w:rPr>
        <w:t>10050.86</w:t>
      </w:r>
      <w:r>
        <w:rPr>
          <w:rFonts w:hint="eastAsia" w:ascii="仿宋" w:hAnsi="仿宋" w:eastAsia="仿宋" w:cs="仿宋_GB2312"/>
          <w:color w:val="5B9BD5" w:themeColor="accent1"/>
          <w:sz w:val="32"/>
          <w:szCs w:val="32"/>
          <w14:textFill>
            <w14:solidFill>
              <w14:schemeClr w14:val="accent1"/>
            </w14:solidFill>
          </w14:textFill>
        </w:rPr>
        <w:t>万元。与上年相比</w:t>
      </w:r>
      <w:r>
        <w:rPr>
          <w:rFonts w:hint="eastAsia" w:ascii="仿宋" w:hAnsi="仿宋" w:eastAsia="仿宋" w:cs="仿宋_GB2312"/>
          <w:color w:val="5B9BD5" w:themeColor="accent1"/>
          <w:sz w:val="32"/>
          <w:szCs w:val="32"/>
          <w:lang w:eastAsia="zh-CN"/>
          <w14:textFill>
            <w14:solidFill>
              <w14:schemeClr w14:val="accent1"/>
            </w14:solidFill>
          </w14:textFill>
        </w:rPr>
        <w:t>减少</w:t>
      </w:r>
      <w:r>
        <w:rPr>
          <w:rFonts w:hint="eastAsia" w:ascii="仿宋" w:hAnsi="仿宋" w:eastAsia="仿宋" w:cs="仿宋_GB2312"/>
          <w:color w:val="5B9BD5" w:themeColor="accent1"/>
          <w:sz w:val="32"/>
          <w:szCs w:val="32"/>
          <w:lang w:val="en-US" w:eastAsia="zh-CN"/>
          <w14:textFill>
            <w14:solidFill>
              <w14:schemeClr w14:val="accent1"/>
            </w14:solidFill>
          </w14:textFill>
        </w:rPr>
        <w:t>12013.41</w:t>
      </w:r>
      <w:r>
        <w:rPr>
          <w:rFonts w:hint="eastAsia" w:ascii="仿宋" w:hAnsi="仿宋" w:eastAsia="仿宋" w:cs="仿宋_GB2312"/>
          <w:color w:val="5B9BD5" w:themeColor="accent1"/>
          <w:sz w:val="32"/>
          <w:szCs w:val="32"/>
          <w14:textFill>
            <w14:solidFill>
              <w14:schemeClr w14:val="accent1"/>
            </w14:solidFill>
          </w14:textFill>
        </w:rPr>
        <w:t>万元，</w:t>
      </w:r>
      <w:r>
        <w:rPr>
          <w:rFonts w:hint="eastAsia" w:ascii="仿宋" w:hAnsi="仿宋" w:eastAsia="仿宋" w:cs="仿宋_GB2312"/>
          <w:color w:val="5B9BD5" w:themeColor="accent1"/>
          <w:sz w:val="32"/>
          <w:szCs w:val="32"/>
          <w:lang w:eastAsia="zh-CN"/>
          <w14:textFill>
            <w14:solidFill>
              <w14:schemeClr w14:val="accent1"/>
            </w14:solidFill>
          </w14:textFill>
        </w:rPr>
        <w:t>减少</w:t>
      </w:r>
      <w:r>
        <w:rPr>
          <w:rFonts w:hint="eastAsia" w:ascii="仿宋" w:hAnsi="仿宋" w:eastAsia="仿宋" w:cs="仿宋_GB2312"/>
          <w:color w:val="5B9BD5" w:themeColor="accent1"/>
          <w:sz w:val="32"/>
          <w:szCs w:val="32"/>
          <w:lang w:val="en-US" w:eastAsia="zh-CN"/>
          <w14:textFill>
            <w14:solidFill>
              <w14:schemeClr w14:val="accent1"/>
            </w14:solidFill>
          </w14:textFill>
        </w:rPr>
        <w:t>54.45</w:t>
      </w:r>
      <w:r>
        <w:rPr>
          <w:rFonts w:hint="eastAsia" w:ascii="仿宋" w:hAnsi="仿宋" w:eastAsia="仿宋" w:cs="仿宋_GB2312"/>
          <w:color w:val="5B9BD5" w:themeColor="accent1"/>
          <w:sz w:val="32"/>
          <w:szCs w:val="32"/>
          <w14:textFill>
            <w14:solidFill>
              <w14:schemeClr w14:val="accent1"/>
            </w14:solidFill>
          </w14:textFill>
        </w:rPr>
        <w:t>%。主要原因是当年完工项目</w:t>
      </w:r>
      <w:r>
        <w:rPr>
          <w:rFonts w:hint="eastAsia" w:ascii="仿宋" w:hAnsi="仿宋" w:eastAsia="仿宋" w:cs="仿宋_GB2312"/>
          <w:color w:val="5B9BD5" w:themeColor="accent1"/>
          <w:sz w:val="32"/>
          <w:szCs w:val="32"/>
          <w:lang w:eastAsia="zh-CN"/>
          <w14:textFill>
            <w14:solidFill>
              <w14:schemeClr w14:val="accent1"/>
            </w14:solidFill>
          </w14:textFill>
        </w:rPr>
        <w:t>结算</w:t>
      </w:r>
      <w:r>
        <w:rPr>
          <w:rFonts w:hint="eastAsia" w:ascii="仿宋" w:hAnsi="仿宋" w:eastAsia="仿宋" w:cs="仿宋_GB2312"/>
          <w:color w:val="5B9BD5" w:themeColor="accent1"/>
          <w:sz w:val="32"/>
          <w:szCs w:val="32"/>
          <w14:textFill>
            <w14:solidFill>
              <w14:schemeClr w14:val="accent1"/>
            </w14:solidFill>
          </w14:textFill>
        </w:rPr>
        <w:t>支出</w:t>
      </w:r>
      <w:r>
        <w:rPr>
          <w:rFonts w:hint="eastAsia" w:ascii="仿宋" w:hAnsi="仿宋" w:eastAsia="仿宋" w:cs="仿宋_GB2312"/>
          <w:color w:val="5B9BD5" w:themeColor="accent1"/>
          <w:sz w:val="32"/>
          <w:szCs w:val="32"/>
          <w:lang w:eastAsia="zh-CN"/>
          <w14:textFill>
            <w14:solidFill>
              <w14:schemeClr w14:val="accent1"/>
            </w14:solidFill>
          </w14:textFill>
        </w:rPr>
        <w:t>减少</w:t>
      </w:r>
      <w:r>
        <w:rPr>
          <w:rFonts w:hint="eastAsia" w:ascii="仿宋" w:hAnsi="仿宋" w:eastAsia="仿宋" w:cs="仿宋_GB2312"/>
          <w:color w:val="5B9BD5" w:themeColor="accent1"/>
          <w:sz w:val="32"/>
          <w:szCs w:val="32"/>
          <w14:textFill>
            <w14:solidFill>
              <w14:schemeClr w14:val="accent1"/>
            </w14:solidFill>
          </w14:textFill>
        </w:rPr>
        <w:t>。</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sz w:val="32"/>
          <w:szCs w:val="32"/>
          <w14:textFill>
            <w14:solidFill>
              <w14:schemeClr w14:val="accent1"/>
            </w14:solidFill>
          </w14:textFill>
        </w:rPr>
        <w:t>单位预留机动经费预算数为0万元。与上年相比增加0万元，增长0%。主要原因是当年无单位预留机动经费。</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四</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机关运行经费安排情况说明</w:t>
      </w:r>
    </w:p>
    <w:p>
      <w:pPr>
        <w:ind w:firstLine="640" w:firstLineChars="200"/>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pP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本单位</w:t>
      </w:r>
      <w:r>
        <w:rPr>
          <w:rFonts w:hint="eastAsia" w:ascii="仿宋_GB2312" w:eastAsia="仿宋_GB2312" w:hAnsiTheme="minorEastAsia" w:cstheme="minorEastAsia"/>
          <w:color w:val="5B9BD5" w:themeColor="accent1"/>
          <w:sz w:val="32"/>
          <w:szCs w:val="32"/>
          <w14:textFill>
            <w14:solidFill>
              <w14:schemeClr w14:val="accent1"/>
            </w14:solidFill>
          </w14:textFill>
        </w:rPr>
        <w:t>机关运行经费</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支出预算数为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17.66万元，较2019年减少1万元，其中：</w:t>
      </w:r>
      <w:r>
        <w:rPr>
          <w:rFonts w:hint="eastAsia" w:ascii="仿宋_GB2312" w:eastAsia="仿宋_GB2312" w:hAnsiTheme="minorEastAsia" w:cstheme="minorEastAsia"/>
          <w:color w:val="5B9BD5" w:themeColor="accent1"/>
          <w:sz w:val="32"/>
          <w:szCs w:val="32"/>
          <w14:textFill>
            <w14:solidFill>
              <w14:schemeClr w14:val="accent1"/>
            </w14:solidFill>
          </w14:textFill>
        </w:rPr>
        <w:t>办公费</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支出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3.21万元</w:t>
      </w:r>
      <w:r>
        <w:rPr>
          <w:rFonts w:hint="eastAsia" w:ascii="仿宋_GB2312" w:eastAsia="仿宋_GB2312" w:hAnsiTheme="minorEastAsia" w:cstheme="minorEastAsia"/>
          <w:color w:val="5B9BD5" w:themeColor="accent1"/>
          <w:sz w:val="32"/>
          <w:szCs w:val="32"/>
          <w14:textFill>
            <w14:solidFill>
              <w14:schemeClr w14:val="accent1"/>
            </w14:solidFill>
          </w14:textFill>
        </w:rPr>
        <w:t>、</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取暖费</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7.91万元、工会经费0.79万元、公务用车运行维护费2万元、其他交通费用（交通补贴）3.75万元</w:t>
      </w:r>
      <w:r>
        <w:rPr>
          <w:rFonts w:hint="eastAsia" w:ascii="仿宋_GB2312" w:eastAsia="仿宋_GB2312" w:hAnsiTheme="minorEastAsia" w:cstheme="minorEastAsia"/>
          <w:color w:val="5B9BD5" w:themeColor="accent1"/>
          <w:sz w:val="32"/>
          <w:szCs w:val="32"/>
          <w14:textFill>
            <w14:solidFill>
              <w14:schemeClr w14:val="accent1"/>
            </w14:solidFill>
          </w14:textFill>
        </w:rPr>
        <w:t>。</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主要增减变化情况：当年压缩办公经费</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20%</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w:t>
      </w:r>
    </w:p>
    <w:p>
      <w:pPr>
        <w:ind w:firstLine="640" w:firstLineChars="200"/>
        <w:rPr>
          <w:rFonts w:hint="eastAsia" w:ascii="楷体" w:hAnsi="楷体" w:eastAsia="楷体" w:cstheme="minorEastAsia"/>
          <w:b w:val="0"/>
          <w:bCs/>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sz w:val="32"/>
          <w:szCs w:val="32"/>
        </w:rPr>
        <w:t>政府采购</w:t>
      </w:r>
      <w:r>
        <w:rPr>
          <w:rFonts w:hint="eastAsia" w:ascii="楷体" w:hAnsi="楷体" w:eastAsia="楷体" w:cstheme="minorEastAsia"/>
          <w:b w:val="0"/>
          <w:bCs/>
          <w:sz w:val="32"/>
          <w:szCs w:val="32"/>
          <w:lang w:eastAsia="zh-CN"/>
        </w:rPr>
        <w:t>安排</w:t>
      </w:r>
      <w:r>
        <w:rPr>
          <w:rFonts w:hint="eastAsia" w:ascii="楷体" w:hAnsi="楷体" w:eastAsia="楷体" w:cstheme="minorEastAsia"/>
          <w:b w:val="0"/>
          <w:bCs/>
          <w:sz w:val="32"/>
          <w:szCs w:val="32"/>
        </w:rPr>
        <w:t>情况说明</w:t>
      </w:r>
    </w:p>
    <w:p>
      <w:pPr>
        <w:numPr>
          <w:ilvl w:val="0"/>
          <w:numId w:val="0"/>
        </w:numPr>
        <w:ind w:firstLine="640" w:firstLineChars="200"/>
        <w:rPr>
          <w:rFonts w:ascii="仿宋_GB2312" w:eastAsia="仿宋_GB2312" w:hAnsiTheme="minorEastAsia" w:cstheme="minorEastAsia"/>
          <w:color w:val="5B9BD5" w:themeColor="accent1"/>
          <w:sz w:val="32"/>
          <w:szCs w:val="32"/>
          <w14:textFill>
            <w14:solidFill>
              <w14:schemeClr w14:val="accent1"/>
            </w14:solidFill>
          </w14:textFill>
        </w:rPr>
      </w:pPr>
      <w:r>
        <w:rPr>
          <w:rFonts w:hint="eastAsia" w:ascii="仿宋_GB2312" w:eastAsia="仿宋_GB2312" w:hAnsiTheme="minorEastAsia" w:cstheme="minorEastAsia"/>
          <w:color w:val="5B9BD5" w:themeColor="accent1"/>
          <w:sz w:val="32"/>
          <w:szCs w:val="32"/>
          <w14:textFill>
            <w14:solidFill>
              <w14:schemeClr w14:val="accent1"/>
            </w14:solidFill>
          </w14:textFill>
        </w:rPr>
        <w:t>本部门20</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20</w:t>
      </w:r>
      <w:r>
        <w:rPr>
          <w:rFonts w:hint="eastAsia" w:ascii="仿宋_GB2312" w:eastAsia="仿宋_GB2312" w:hAnsiTheme="minorEastAsia" w:cstheme="minorEastAsia"/>
          <w:color w:val="5B9BD5" w:themeColor="accent1"/>
          <w:sz w:val="32"/>
          <w:szCs w:val="32"/>
          <w14:textFill>
            <w14:solidFill>
              <w14:schemeClr w14:val="accent1"/>
            </w14:solidFill>
          </w14:textFill>
        </w:rPr>
        <w:t>年度政府采购</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安排</w:t>
      </w:r>
      <w:r>
        <w:rPr>
          <w:rFonts w:hint="eastAsia" w:ascii="仿宋_GB2312" w:eastAsia="仿宋_GB2312" w:hAnsiTheme="minorEastAsia" w:cstheme="minorEastAsia"/>
          <w:color w:val="5B9BD5" w:themeColor="accent1"/>
          <w:sz w:val="32"/>
          <w:szCs w:val="32"/>
          <w14:textFill>
            <w14:solidFill>
              <w14:schemeClr w14:val="accent1"/>
            </w14:solidFill>
          </w14:textFill>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六</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lang w:eastAsia="zh-CN"/>
        </w:rPr>
      </w:pPr>
      <w:r>
        <w:rPr>
          <w:rFonts w:hint="eastAsia" w:ascii="仿宋_GB2312" w:hAnsi="仿宋_GB2312" w:eastAsia="仿宋_GB2312" w:cs="仿宋_GB2312"/>
          <w:color w:val="auto"/>
          <w:sz w:val="32"/>
          <w:szCs w:val="32"/>
          <w:shd w:val="clear" w:color="auto" w:fill="FFFFFF"/>
        </w:rPr>
        <w:t>截止2019年12月31日，本单位资产总额185694.296468万元，其中流动资产85751.294356万元，固定资产1416.580109万元，在建工程53059.274228万元，无形资产1.07万元。固定资产当中，房屋构筑物483.819258万元，汽车15辆0万元，单价200万元以上大型设备价值0万元，其他固定资产0万元</w:t>
      </w:r>
      <w:r>
        <w:rPr>
          <w:rFonts w:hint="eastAsia" w:ascii="仿宋_GB2312" w:hAnsi="仿宋_GB2312" w:eastAsia="仿宋_GB2312" w:cs="仿宋_GB2312"/>
          <w:color w:val="auto"/>
          <w:sz w:val="32"/>
          <w:szCs w:val="32"/>
          <w:shd w:val="clear" w:color="auto" w:fill="FFFFFF"/>
          <w:lang w:eastAsia="zh-CN"/>
        </w:rPr>
        <w:t>。</w:t>
      </w:r>
    </w:p>
    <w:p>
      <w:pPr>
        <w:ind w:firstLine="640" w:firstLineChars="200"/>
        <w:rPr>
          <w:rFonts w:hint="eastAsia" w:ascii="楷体" w:hAnsi="楷体" w:eastAsia="楷体" w:cstheme="minorEastAsia"/>
          <w:b w:val="0"/>
          <w:bCs/>
          <w:sz w:val="32"/>
          <w:szCs w:val="32"/>
          <w:lang w:val="en-US" w:eastAsia="zh-CN"/>
        </w:rPr>
      </w:pPr>
      <w:r>
        <w:rPr>
          <w:rFonts w:hint="eastAsia" w:ascii="仿宋_GB2312" w:hAnsi="仿宋_GB2312" w:eastAsia="仿宋_GB2312" w:cs="仿宋_GB2312"/>
          <w:color w:val="auto"/>
          <w:sz w:val="32"/>
          <w:szCs w:val="32"/>
          <w:shd w:val="clear" w:color="auto" w:fill="FFFFFF"/>
        </w:rPr>
        <w:t>与上年相比，本年资产总额增加22381.298815万元。</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val="en-US" w:eastAsia="zh-CN"/>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我单位本年度项目支出10050.86287万元，其中：重点项目支出1500万元，项目为太焦高铁襄垣东站站前广场工程。</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建设内容及规模：1、广场区广场（占地100209.08㎡），包括停车场、景区、道路、绿化、硬化及配套商业等；2、周边配套交通道路区工程（占地32270.37㎡），道路红线宽45米，长566.14米，道路测绿化面积6794.07平方米。</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项目于2019年11月完成公开招投标，于2020年3月进场施工，计划于2021年3月全部完工。</w:t>
      </w:r>
    </w:p>
    <w:p>
      <w:pPr>
        <w:ind w:firstLine="640" w:firstLineChars="200"/>
        <w:rPr>
          <w:rFonts w:hint="default" w:ascii="楷体" w:hAnsi="楷体" w:eastAsia="楷体" w:cstheme="minorEastAsia"/>
          <w:b w:val="0"/>
          <w:bCs/>
          <w:sz w:val="32"/>
          <w:szCs w:val="32"/>
          <w:lang w:val="en-US" w:eastAsia="zh-CN"/>
        </w:rPr>
      </w:pPr>
      <w:r>
        <w:rPr>
          <w:rFonts w:hint="eastAsia" w:ascii="仿宋_GB2312" w:hAnsi="仿宋_GB2312" w:eastAsia="仿宋_GB2312" w:cs="仿宋_GB2312"/>
          <w:sz w:val="32"/>
          <w:szCs w:val="32"/>
          <w:lang w:val="en-US" w:eastAsia="zh-CN"/>
        </w:rPr>
        <w:t>项目的建成：1、满足经济与社会和谐发展的需要；2、襄垣东站配套建设的需要；3、满足人民生活水平提高的要求；4、加强城市基础设施建设的需要。</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ind w:firstLine="640" w:firstLineChars="200"/>
        <w:rPr>
          <w:rFonts w:ascii="仿宋_GB2312" w:eastAsia="仿宋_GB2312" w:hAnsiTheme="minorEastAsia" w:cstheme="minorEastAsia"/>
          <w:color w:val="5B9BD5" w:themeColor="accent1"/>
          <w:sz w:val="32"/>
          <w:szCs w:val="32"/>
          <w14:textFill>
            <w14:solidFill>
              <w14:schemeClr w14:val="accent1"/>
            </w14:solidFill>
          </w14:textFill>
        </w:rPr>
      </w:pPr>
      <w:r>
        <w:rPr>
          <w:rFonts w:hint="eastAsia" w:ascii="仿宋_GB2312" w:eastAsia="仿宋_GB2312" w:hAnsiTheme="minorEastAsia" w:cstheme="minorEastAsia"/>
          <w:color w:val="5B9BD5" w:themeColor="accent1"/>
          <w:sz w:val="32"/>
          <w:szCs w:val="32"/>
          <w14:textFill>
            <w14:solidFill>
              <w14:schemeClr w14:val="accent1"/>
            </w14:solidFill>
          </w14:textFill>
        </w:rPr>
        <w:t>本部门20</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20</w:t>
      </w:r>
      <w:r>
        <w:rPr>
          <w:rFonts w:hint="eastAsia" w:ascii="仿宋_GB2312" w:eastAsia="仿宋_GB2312" w:hAnsiTheme="minorEastAsia" w:cstheme="minorEastAsia"/>
          <w:color w:val="5B9BD5" w:themeColor="accent1"/>
          <w:sz w:val="32"/>
          <w:szCs w:val="32"/>
          <w14:textFill>
            <w14:solidFill>
              <w14:schemeClr w14:val="accent1"/>
            </w14:solidFill>
          </w14:textFill>
        </w:rPr>
        <w:t>年度一般公共预算“三公”经费预算数为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2</w:t>
      </w:r>
      <w:r>
        <w:rPr>
          <w:rFonts w:hint="eastAsia" w:ascii="仿宋_GB2312" w:eastAsia="仿宋_GB2312" w:hAnsiTheme="minorEastAsia" w:cstheme="minorEastAsia"/>
          <w:color w:val="5B9BD5" w:themeColor="accent1"/>
          <w:sz w:val="32"/>
          <w:szCs w:val="32"/>
          <w14:textFill>
            <w14:solidFill>
              <w14:schemeClr w14:val="accent1"/>
            </w14:solidFill>
          </w14:textFill>
        </w:rPr>
        <w:t>万元，较20</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19</w:t>
      </w:r>
      <w:r>
        <w:rPr>
          <w:rFonts w:hint="eastAsia" w:ascii="仿宋_GB2312" w:eastAsia="仿宋_GB2312" w:hAnsiTheme="minorEastAsia" w:cstheme="minorEastAsia"/>
          <w:color w:val="5B9BD5" w:themeColor="accent1"/>
          <w:sz w:val="32"/>
          <w:szCs w:val="32"/>
          <w14:textFill>
            <w14:solidFill>
              <w14:schemeClr w14:val="accent1"/>
            </w14:solidFill>
          </w14:textFill>
        </w:rPr>
        <w:t>年减少</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w:t>
      </w:r>
      <w:r>
        <w:rPr>
          <w:rFonts w:hint="eastAsia" w:ascii="仿宋_GB2312" w:eastAsia="仿宋_GB2312" w:hAnsiTheme="minorEastAsia" w:cstheme="minorEastAsia"/>
          <w:color w:val="5B9BD5" w:themeColor="accent1"/>
          <w:sz w:val="32"/>
          <w:szCs w:val="32"/>
          <w14:textFill>
            <w14:solidFill>
              <w14:schemeClr w14:val="accent1"/>
            </w14:solidFill>
          </w14:textFill>
        </w:rPr>
        <w:t>万元，下降</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w:t>
      </w:r>
      <w:r>
        <w:rPr>
          <w:rFonts w:hint="eastAsia" w:ascii="仿宋_GB2312" w:eastAsia="仿宋_GB2312" w:hAnsiTheme="minorEastAsia" w:cstheme="minorEastAsia"/>
          <w:color w:val="5B9BD5" w:themeColor="accent1"/>
          <w:sz w:val="32"/>
          <w:szCs w:val="32"/>
          <w14:textFill>
            <w14:solidFill>
              <w14:schemeClr w14:val="accent1"/>
            </w14:solidFill>
          </w14:textFill>
        </w:rPr>
        <w:t>%，其中：</w:t>
      </w:r>
    </w:p>
    <w:p>
      <w:pPr>
        <w:numPr>
          <w:ilvl w:val="0"/>
          <w:numId w:val="1"/>
        </w:numPr>
        <w:ind w:firstLine="640" w:firstLineChars="200"/>
        <w:rPr>
          <w:rFonts w:ascii="仿宋_GB2312" w:eastAsia="仿宋_GB2312" w:hAnsiTheme="minorEastAsia" w:cstheme="minorEastAsia"/>
          <w:color w:val="5B9BD5" w:themeColor="accent1"/>
          <w:sz w:val="32"/>
          <w:szCs w:val="32"/>
          <w14:textFill>
            <w14:solidFill>
              <w14:schemeClr w14:val="accent1"/>
            </w14:solidFill>
          </w14:textFill>
        </w:rPr>
      </w:pPr>
      <w:r>
        <w:rPr>
          <w:rFonts w:hint="eastAsia" w:ascii="仿宋_GB2312" w:eastAsia="仿宋_GB2312" w:hAnsiTheme="minorEastAsia" w:cstheme="minorEastAsia"/>
          <w:color w:val="5B9BD5" w:themeColor="accent1"/>
          <w:sz w:val="32"/>
          <w:szCs w:val="32"/>
          <w14:textFill>
            <w14:solidFill>
              <w14:schemeClr w14:val="accent1"/>
            </w14:solidFill>
          </w14:textFill>
        </w:rPr>
        <w:t>因公出国（境）支出年初预算数为0万元，</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因公出国（境）团组数为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0，人数为0。</w:t>
      </w:r>
      <w:r>
        <w:rPr>
          <w:rFonts w:hint="eastAsia" w:ascii="仿宋_GB2312" w:eastAsia="仿宋_GB2312" w:hAnsiTheme="minorEastAsia" w:cstheme="minorEastAsia"/>
          <w:color w:val="5B9BD5" w:themeColor="accent1"/>
          <w:sz w:val="32"/>
          <w:szCs w:val="32"/>
          <w14:textFill>
            <w14:solidFill>
              <w14:schemeClr w14:val="accent1"/>
            </w14:solidFill>
          </w14:textFill>
        </w:rPr>
        <w:t>较201</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8</w:t>
      </w:r>
      <w:r>
        <w:rPr>
          <w:rFonts w:hint="eastAsia" w:ascii="仿宋_GB2312" w:eastAsia="仿宋_GB2312" w:hAnsiTheme="minorEastAsia" w:cstheme="minorEastAsia"/>
          <w:color w:val="5B9BD5" w:themeColor="accent1"/>
          <w:sz w:val="32"/>
          <w:szCs w:val="32"/>
          <w14:textFill>
            <w14:solidFill>
              <w14:schemeClr w14:val="accent1"/>
            </w14:solidFill>
          </w14:textFill>
        </w:rPr>
        <w:t>年增加（减少）0万元，增长（下降）0%。</w:t>
      </w:r>
    </w:p>
    <w:p>
      <w:pPr>
        <w:rPr>
          <w:rFonts w:hint="default" w:ascii="仿宋_GB2312" w:eastAsia="仿宋_GB2312" w:hAnsiTheme="minorEastAsia" w:cstheme="minorEastAsia"/>
          <w:color w:val="5B9BD5" w:themeColor="accent1"/>
          <w:sz w:val="32"/>
          <w:szCs w:val="32"/>
          <w:lang w:val="en-US" w:eastAsia="zh-CN"/>
          <w14:textFill>
            <w14:solidFill>
              <w14:schemeClr w14:val="accent1"/>
            </w14:solidFill>
          </w14:textFill>
        </w:rPr>
      </w:pPr>
      <w:r>
        <w:rPr>
          <w:rFonts w:hint="eastAsia" w:ascii="仿宋_GB2312" w:eastAsia="仿宋_GB2312" w:hAnsiTheme="minorEastAsia" w:cstheme="minorEastAsia"/>
          <w:color w:val="5B9BD5" w:themeColor="accent1"/>
          <w:sz w:val="32"/>
          <w:szCs w:val="32"/>
          <w14:textFill>
            <w14:solidFill>
              <w14:schemeClr w14:val="accent1"/>
            </w14:solidFill>
          </w14:textFill>
        </w:rPr>
        <w:t>　　（二）公务接待费支出年初预算数为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w:t>
      </w:r>
      <w:r>
        <w:rPr>
          <w:rFonts w:hint="eastAsia" w:ascii="仿宋_GB2312" w:eastAsia="仿宋_GB2312" w:hAnsiTheme="minorEastAsia" w:cstheme="minorEastAsia"/>
          <w:color w:val="5B9BD5" w:themeColor="accent1"/>
          <w:sz w:val="32"/>
          <w:szCs w:val="32"/>
          <w14:textFill>
            <w14:solidFill>
              <w14:schemeClr w14:val="accent1"/>
            </w14:solidFill>
          </w14:textFill>
        </w:rPr>
        <w:t>万元，较201</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9</w:t>
      </w:r>
      <w:r>
        <w:rPr>
          <w:rFonts w:hint="eastAsia" w:ascii="仿宋_GB2312" w:eastAsia="仿宋_GB2312" w:hAnsiTheme="minorEastAsia" w:cstheme="minorEastAsia"/>
          <w:color w:val="5B9BD5" w:themeColor="accent1"/>
          <w:sz w:val="32"/>
          <w:szCs w:val="32"/>
          <w14:textFill>
            <w14:solidFill>
              <w14:schemeClr w14:val="accent1"/>
            </w14:solidFill>
          </w14:textFill>
        </w:rPr>
        <w:t>年减少</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w:t>
      </w:r>
      <w:r>
        <w:rPr>
          <w:rFonts w:hint="eastAsia" w:ascii="仿宋_GB2312" w:eastAsia="仿宋_GB2312" w:hAnsiTheme="minorEastAsia" w:cstheme="minorEastAsia"/>
          <w:color w:val="5B9BD5" w:themeColor="accent1"/>
          <w:sz w:val="32"/>
          <w:szCs w:val="32"/>
          <w14:textFill>
            <w14:solidFill>
              <w14:schemeClr w14:val="accent1"/>
            </w14:solidFill>
          </w14:textFill>
        </w:rPr>
        <w:t>万元，下降</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w:t>
      </w:r>
      <w:r>
        <w:rPr>
          <w:rFonts w:hint="eastAsia" w:ascii="仿宋_GB2312" w:eastAsia="仿宋_GB2312" w:hAnsiTheme="minorEastAsia" w:cstheme="minorEastAsia"/>
          <w:color w:val="5B9BD5" w:themeColor="accent1"/>
          <w:sz w:val="32"/>
          <w:szCs w:val="32"/>
          <w14:textFill>
            <w14:solidFill>
              <w14:schemeClr w14:val="accent1"/>
            </w14:solidFill>
          </w14:textFill>
        </w:rPr>
        <w:t>%。</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本年度国内公务接待共</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0批次，共0人。</w:t>
      </w:r>
    </w:p>
    <w:p>
      <w:pPr>
        <w:ind w:firstLine="640" w:firstLineChars="200"/>
        <w:rPr>
          <w:rFonts w:hint="default" w:ascii="仿宋_GB2312" w:eastAsia="仿宋_GB2312" w:hAnsiTheme="minorEastAsia" w:cstheme="minorEastAsia"/>
          <w:color w:val="5B9BD5" w:themeColor="accent1"/>
          <w:sz w:val="32"/>
          <w:szCs w:val="32"/>
          <w:lang w:val="en-US" w:eastAsia="zh-CN"/>
          <w14:textFill>
            <w14:solidFill>
              <w14:schemeClr w14:val="accent1"/>
            </w14:solidFill>
          </w14:textFill>
        </w:rPr>
      </w:pPr>
      <w:r>
        <w:rPr>
          <w:rFonts w:hint="eastAsia" w:ascii="仿宋_GB2312" w:eastAsia="仿宋_GB2312" w:hAnsiTheme="minorEastAsia" w:cstheme="minorEastAsia"/>
          <w:color w:val="5B9BD5" w:themeColor="accent1"/>
          <w:sz w:val="32"/>
          <w:szCs w:val="32"/>
          <w14:textFill>
            <w14:solidFill>
              <w14:schemeClr w14:val="accent1"/>
            </w14:solidFill>
          </w14:textFill>
        </w:rPr>
        <w:t>（三）公务用车购置及运行维护费支出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2</w:t>
      </w:r>
      <w:r>
        <w:rPr>
          <w:rFonts w:hint="eastAsia" w:ascii="仿宋_GB2312" w:eastAsia="仿宋_GB2312" w:hAnsiTheme="minorEastAsia" w:cstheme="minorEastAsia"/>
          <w:color w:val="5B9BD5" w:themeColor="accent1"/>
          <w:sz w:val="32"/>
          <w:szCs w:val="32"/>
          <w14:textFill>
            <w14:solidFill>
              <w14:schemeClr w14:val="accent1"/>
            </w14:solidFill>
          </w14:textFill>
        </w:rPr>
        <w:t>万元，其中公务用车购置年初预算数为0万元，较201</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9</w:t>
      </w:r>
      <w:r>
        <w:rPr>
          <w:rFonts w:hint="eastAsia" w:ascii="仿宋_GB2312" w:eastAsia="仿宋_GB2312" w:hAnsiTheme="minorEastAsia" w:cstheme="minorEastAsia"/>
          <w:color w:val="5B9BD5" w:themeColor="accent1"/>
          <w:sz w:val="32"/>
          <w:szCs w:val="32"/>
          <w14:textFill>
            <w14:solidFill>
              <w14:schemeClr w14:val="accent1"/>
            </w14:solidFill>
          </w14:textFill>
        </w:rPr>
        <w:t>年增加（减少）0万元，增长（下降）0%；公务用车运行维护费支出年初预算数为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2</w:t>
      </w:r>
      <w:r>
        <w:rPr>
          <w:rFonts w:hint="eastAsia" w:ascii="仿宋_GB2312" w:eastAsia="仿宋_GB2312" w:hAnsiTheme="minorEastAsia" w:cstheme="minorEastAsia"/>
          <w:color w:val="5B9BD5" w:themeColor="accent1"/>
          <w:sz w:val="32"/>
          <w:szCs w:val="32"/>
          <w14:textFill>
            <w14:solidFill>
              <w14:schemeClr w14:val="accent1"/>
            </w14:solidFill>
          </w14:textFill>
        </w:rPr>
        <w:t>万元，较201</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9</w:t>
      </w:r>
      <w:r>
        <w:rPr>
          <w:rFonts w:hint="eastAsia" w:ascii="仿宋_GB2312" w:eastAsia="仿宋_GB2312" w:hAnsiTheme="minorEastAsia" w:cstheme="minorEastAsia"/>
          <w:color w:val="5B9BD5" w:themeColor="accent1"/>
          <w:sz w:val="32"/>
          <w:szCs w:val="32"/>
          <w14:textFill>
            <w14:solidFill>
              <w14:schemeClr w14:val="accent1"/>
            </w14:solidFill>
          </w14:textFill>
        </w:rPr>
        <w:t>年增加（减少）0万元，增长（下降）0%。</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本年度机关</w:t>
      </w:r>
      <w:bookmarkStart w:id="0" w:name="_GoBack"/>
      <w:bookmarkEnd w:id="0"/>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公务用车购置数</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0辆，公务用车保有量1辆。</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十、政府性基金预算支出预算情况说明</w:t>
      </w:r>
    </w:p>
    <w:p>
      <w:pPr>
        <w:ind w:firstLine="640" w:firstLineChars="200"/>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pP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本单位本年度无此项预算，故无此项说明。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BE04E41"/>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C79125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4F4569AC"/>
    <w:rsid w:val="522F50B0"/>
    <w:rsid w:val="52567629"/>
    <w:rsid w:val="582B68F4"/>
    <w:rsid w:val="5D083F24"/>
    <w:rsid w:val="5D306324"/>
    <w:rsid w:val="5E0B45F3"/>
    <w:rsid w:val="60860A87"/>
    <w:rsid w:val="60B46440"/>
    <w:rsid w:val="61C6166E"/>
    <w:rsid w:val="635C762A"/>
    <w:rsid w:val="663155CA"/>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8</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2021-06-03T10:30:43Z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D9478E9612784B7AB2C7313B753A3D6F</vt:lpwstr>
  </property>
</Properties>
</file>