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粮食管理中心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pStyle w:val="10"/>
        <w:spacing w:line="360" w:lineRule="auto"/>
        <w:ind w:firstLine="320" w:firstLineChars="100"/>
        <w:jc w:val="both"/>
        <w:rPr>
          <w:rFonts w:ascii="仿宋_GB2312" w:hAnsi="仿宋_GB2312" w:cs="仿宋_GB2312"/>
          <w:sz w:val="32"/>
          <w:szCs w:val="32"/>
        </w:rPr>
      </w:pPr>
      <w:r>
        <w:rPr>
          <w:rFonts w:hint="eastAsia" w:ascii="仿宋_GB2312" w:hAnsi="仿宋_GB2312" w:cs="仿宋_GB2312"/>
          <w:sz w:val="32"/>
          <w:szCs w:val="32"/>
        </w:rPr>
        <w:t>（</w:t>
      </w:r>
      <w:r>
        <w:rPr>
          <w:rFonts w:ascii="仿宋_GB2312" w:hAnsi="仿宋_GB2312" w:cs="仿宋_GB2312"/>
          <w:sz w:val="32"/>
          <w:szCs w:val="32"/>
        </w:rPr>
        <w:t>1）负责全县粮食安全、宏观调控、总量平衡以及粮食流通的中长期规划。</w:t>
      </w:r>
    </w:p>
    <w:p>
      <w:pPr>
        <w:pStyle w:val="10"/>
        <w:spacing w:line="360" w:lineRule="auto"/>
        <w:ind w:firstLine="320" w:firstLineChars="100"/>
        <w:jc w:val="both"/>
        <w:rPr>
          <w:rFonts w:ascii="仿宋_GB2312" w:hAnsi="仿宋_GB2312" w:cs="仿宋_GB2312"/>
          <w:sz w:val="32"/>
          <w:szCs w:val="32"/>
        </w:rPr>
      </w:pPr>
      <w:r>
        <w:rPr>
          <w:rFonts w:hint="eastAsia" w:ascii="仿宋_GB2312" w:hAnsi="仿宋_GB2312" w:cs="仿宋_GB2312"/>
          <w:sz w:val="32"/>
          <w:szCs w:val="32"/>
        </w:rPr>
        <w:t>（</w:t>
      </w:r>
      <w:r>
        <w:rPr>
          <w:rFonts w:ascii="仿宋_GB2312" w:hAnsi="仿宋_GB2312" w:cs="仿宋_GB2312"/>
          <w:sz w:val="32"/>
          <w:szCs w:val="32"/>
        </w:rPr>
        <w:t>2）负责全县粮食仓储管理、技术推广和安全储存工作；指导粮食行业安全生产工作。</w:t>
      </w:r>
    </w:p>
    <w:p>
      <w:pPr>
        <w:pStyle w:val="10"/>
        <w:spacing w:line="360" w:lineRule="auto"/>
        <w:ind w:firstLine="320" w:firstLineChars="100"/>
        <w:jc w:val="both"/>
        <w:rPr>
          <w:rFonts w:ascii="仿宋_GB2312" w:hAnsi="仿宋_GB2312" w:cs="仿宋_GB2312"/>
          <w:sz w:val="32"/>
          <w:szCs w:val="32"/>
        </w:rPr>
      </w:pPr>
      <w:r>
        <w:rPr>
          <w:rFonts w:hint="eastAsia" w:ascii="仿宋_GB2312" w:hAnsi="仿宋_GB2312" w:cs="仿宋_GB2312"/>
          <w:sz w:val="32"/>
          <w:szCs w:val="32"/>
        </w:rPr>
        <w:t>（</w:t>
      </w:r>
      <w:r>
        <w:rPr>
          <w:rFonts w:ascii="仿宋_GB2312" w:hAnsi="仿宋_GB2312" w:cs="仿宋_GB2312"/>
          <w:sz w:val="32"/>
          <w:szCs w:val="32"/>
        </w:rPr>
        <w:t>3）拟定全县粮食市场体系、粮食现代物流体系建设与发展规划并组织实施。</w:t>
      </w:r>
    </w:p>
    <w:p>
      <w:pPr>
        <w:pStyle w:val="10"/>
        <w:spacing w:line="360" w:lineRule="auto"/>
        <w:ind w:firstLine="320" w:firstLineChars="100"/>
        <w:jc w:val="both"/>
        <w:rPr>
          <w:rFonts w:ascii="仿宋_GB2312" w:hAnsi="仿宋_GB2312" w:cs="仿宋_GB2312"/>
          <w:sz w:val="32"/>
          <w:szCs w:val="32"/>
        </w:rPr>
      </w:pPr>
      <w:r>
        <w:rPr>
          <w:rFonts w:hint="eastAsia" w:ascii="仿宋_GB2312" w:hAnsi="仿宋_GB2312" w:cs="仿宋_GB2312"/>
          <w:sz w:val="32"/>
          <w:szCs w:val="32"/>
        </w:rPr>
        <w:t>（</w:t>
      </w:r>
      <w:r>
        <w:rPr>
          <w:rFonts w:ascii="仿宋_GB2312" w:hAnsi="仿宋_GB2312" w:cs="仿宋_GB2312"/>
          <w:sz w:val="32"/>
          <w:szCs w:val="32"/>
        </w:rPr>
        <w:t>4）承担县级储备粮管理；会同有关部门研究提出县级储备粮的规模、总体布局和收购、销售计划；监督检查县储备粮的数量、质量和储存安全。</w:t>
      </w:r>
    </w:p>
    <w:p>
      <w:pPr>
        <w:pStyle w:val="10"/>
        <w:spacing w:line="360" w:lineRule="auto"/>
        <w:ind w:firstLine="320" w:firstLineChars="100"/>
        <w:jc w:val="both"/>
        <w:rPr>
          <w:rFonts w:ascii="仿宋_GB2312" w:hAnsi="仿宋_GB2312" w:cs="仿宋_GB2312"/>
          <w:sz w:val="32"/>
          <w:szCs w:val="32"/>
        </w:rPr>
      </w:pPr>
      <w:r>
        <w:rPr>
          <w:rFonts w:hint="eastAsia" w:ascii="仿宋_GB2312" w:hAnsi="仿宋_GB2312" w:cs="仿宋_GB2312"/>
          <w:sz w:val="32"/>
          <w:szCs w:val="32"/>
        </w:rPr>
        <w:t>（</w:t>
      </w:r>
      <w:r>
        <w:rPr>
          <w:rFonts w:ascii="仿宋_GB2312" w:hAnsi="仿宋_GB2312" w:cs="仿宋_GB2312"/>
          <w:sz w:val="32"/>
          <w:szCs w:val="32"/>
        </w:rPr>
        <w:t>5）负责全社会粮食流通统计工作，建立健全全社会粮食流通统计制度。</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二、部门基本情况</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（一）机构设置情况</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襄垣县粮食管理中心内设4个职能股室，分别为：办公室、会计股、仓储股、业务股。</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（二）人员情况说明</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2020年度中心编制人数12人，年末实有7人。</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（三）本套部门决算汇编范围的单位共1个，包括：襄垣县粮食管理中心。</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三、预算收支增减变化情况说明</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襄垣县粮食管理中心2020年度收入、支出预算总计89.65万元，与上年相比收、支预算总计各增加10.22万元，增长12.87%。主要原因是在职人员增加。其中：</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（一）收入预算总计89.65万元。包括：</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1．财政拨款收入预算总计89.65万元。</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（1）一般公共预算收入预算89.65万元，与上年相比增加10.22万元，增长12.87%。主要原因是在职人员增加。</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（2）政府性基金收入预算0万元，与上年相比增加0万元，增长0%。</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2．财政专户管理资金收入预算总计0万元。与上年相比增加0万元，增长0%。</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3．其他资金收入预算总计0万元。与上年相比增加0万元，增长0%。</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4．上年结转资金预算数为0万元。与上年相比增加0万元，增长0%。</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（二）支出预算总计89.65万元。包括：</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1．一般公共服务（类）支出89.65万元，主要用于人员经费和办公经费。与上年相比增加10.22万元，增长12.87%，主要原因是在职人员增加。</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2．结转下年资金预算数为0万元。</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此外，基本支出预算数为89.65万元。与上年相比增加10.22万元，增长12.87%，主要原因是在职人员增加。</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项目支出预算数为0万元。与上年相比减少0万元，主要原因是本年无项目预算。</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单位预留机动经费预算数为0万元。与上年相比增加0万元，增长0%。</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四、机关运行经费安排情况说明</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本单位机关运行经费支出预算数为14.6万元，较2019年减少0.42万元，其中：办公费支出减少0.9万元、其他交通费用增加0.48万元等。主要是由于压缩经费和人员增加。</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五、政府采购安排情况说明</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本部门2020年度政府采购安排0万元，其中：政府采购货物支出0万元、政府采购工程支出0万元、政府采购服务支出0万元。授予中小企业合同金额0万元，占政府采购支出总额的0%。</w:t>
      </w:r>
    </w:p>
    <w:p>
      <w:pPr>
        <w:ind w:firstLine="602" w:firstLineChars="200"/>
        <w:rPr>
          <w:rFonts w:hint="eastAsia" w:ascii="楷体" w:hAnsi="楷体" w:eastAsia="楷体" w:cstheme="minorEastAsia"/>
          <w:b/>
          <w:bCs w:val="0"/>
          <w:sz w:val="30"/>
          <w:szCs w:val="30"/>
          <w:lang w:eastAsia="zh-CN"/>
        </w:rPr>
      </w:pPr>
      <w:r>
        <w:rPr>
          <w:rFonts w:hint="eastAsia" w:ascii="楷体" w:hAnsi="楷体" w:eastAsia="楷体" w:cstheme="minorEastAsia"/>
          <w:b/>
          <w:bCs w:val="0"/>
          <w:sz w:val="30"/>
          <w:szCs w:val="30"/>
          <w:lang w:eastAsia="zh-CN"/>
        </w:rPr>
        <w:t>六、对专业性较强的名词进行解释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02" w:firstLineChars="200"/>
        <w:rPr>
          <w:rFonts w:hint="eastAsia" w:ascii="楷体" w:hAnsi="楷体" w:eastAsia="楷体" w:cstheme="minorEastAsia"/>
          <w:b/>
          <w:bCs w:val="0"/>
          <w:sz w:val="30"/>
          <w:szCs w:val="30"/>
          <w:lang w:val="en-US" w:eastAsia="zh-CN"/>
        </w:rPr>
      </w:pPr>
      <w:r>
        <w:rPr>
          <w:rFonts w:hint="eastAsia" w:ascii="楷体" w:hAnsi="楷体" w:eastAsia="楷体" w:cstheme="minorEastAsia"/>
          <w:b/>
          <w:bCs w:val="0"/>
          <w:sz w:val="30"/>
          <w:szCs w:val="30"/>
          <w:lang w:eastAsia="zh-CN"/>
        </w:rPr>
        <w:t>七、国有</w:t>
      </w:r>
      <w:r>
        <w:rPr>
          <w:rFonts w:hint="eastAsia" w:ascii="楷体" w:hAnsi="楷体" w:eastAsia="楷体" w:cstheme="minorEastAsia"/>
          <w:b/>
          <w:bCs w:val="0"/>
          <w:sz w:val="30"/>
          <w:szCs w:val="30"/>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2593</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2190</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176</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375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没有</w:t>
      </w:r>
      <w:r>
        <w:rPr>
          <w:rFonts w:hint="eastAsia" w:ascii="仿宋_GB2312" w:hAnsi="仿宋_GB2312" w:eastAsia="仿宋_GB2312" w:cs="仿宋_GB2312"/>
          <w:color w:val="auto"/>
          <w:sz w:val="32"/>
          <w:szCs w:val="32"/>
          <w:shd w:val="clear" w:color="auto" w:fill="FFFFFF"/>
        </w:rPr>
        <w:t>无形资产</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73</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没有</w:t>
      </w:r>
      <w:r>
        <w:rPr>
          <w:rFonts w:hint="eastAsia" w:ascii="仿宋_GB2312" w:hAnsi="仿宋_GB2312" w:eastAsia="仿宋_GB2312" w:cs="仿宋_GB2312"/>
          <w:color w:val="auto"/>
          <w:sz w:val="32"/>
          <w:szCs w:val="32"/>
          <w:shd w:val="clear" w:color="auto" w:fill="FFFFFF"/>
        </w:rPr>
        <w:t>汽车，</w:t>
      </w:r>
      <w:r>
        <w:rPr>
          <w:rFonts w:hint="eastAsia" w:ascii="仿宋_GB2312" w:hAnsi="仿宋_GB2312" w:eastAsia="仿宋_GB2312" w:cs="仿宋_GB2312"/>
          <w:color w:val="auto"/>
          <w:sz w:val="32"/>
          <w:szCs w:val="32"/>
          <w:shd w:val="clear" w:color="auto" w:fill="FFFFFF"/>
          <w:lang w:eastAsia="zh-CN"/>
        </w:rPr>
        <w:t>没有</w:t>
      </w:r>
      <w:r>
        <w:rPr>
          <w:rFonts w:hint="eastAsia" w:ascii="仿宋_GB2312" w:hAnsi="仿宋_GB2312" w:eastAsia="仿宋_GB2312" w:cs="仿宋_GB2312"/>
          <w:color w:val="auto"/>
          <w:sz w:val="32"/>
          <w:szCs w:val="32"/>
          <w:shd w:val="clear" w:color="auto" w:fill="FFFFFF"/>
        </w:rPr>
        <w:t>单价200万元以上大型设备价值，其他固定资产</w:t>
      </w:r>
      <w:r>
        <w:rPr>
          <w:rFonts w:hint="eastAsia" w:ascii="仿宋_GB2312" w:hAnsi="仿宋_GB2312" w:eastAsia="仿宋_GB2312" w:cs="仿宋_GB2312"/>
          <w:color w:val="auto"/>
          <w:sz w:val="32"/>
          <w:szCs w:val="32"/>
          <w:shd w:val="clear" w:color="auto" w:fill="FFFFFF"/>
          <w:lang w:val="en-US" w:eastAsia="zh-CN"/>
        </w:rPr>
        <w:t>103</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 7</w:t>
      </w:r>
      <w:r>
        <w:rPr>
          <w:rFonts w:hint="eastAsia" w:ascii="仿宋_GB2312" w:hAnsi="仿宋_GB2312" w:eastAsia="仿宋_GB2312" w:cs="仿宋_GB2312"/>
          <w:color w:val="auto"/>
          <w:sz w:val="32"/>
          <w:szCs w:val="32"/>
          <w:shd w:val="clear" w:color="auto" w:fill="FFFFFF"/>
        </w:rPr>
        <w:t>万元。 </w:t>
      </w:r>
    </w:p>
    <w:p>
      <w:pPr>
        <w:ind w:firstLine="602" w:firstLineChars="200"/>
        <w:rPr>
          <w:rFonts w:hint="eastAsia" w:ascii="楷体" w:hAnsi="楷体" w:eastAsia="楷体" w:cstheme="minorEastAsia"/>
          <w:b/>
          <w:bCs w:val="0"/>
          <w:sz w:val="30"/>
          <w:szCs w:val="30"/>
          <w:lang w:val="en-US" w:eastAsia="zh-CN"/>
        </w:rPr>
      </w:pPr>
      <w:r>
        <w:rPr>
          <w:rFonts w:hint="eastAsia" w:ascii="楷体" w:hAnsi="楷体" w:eastAsia="楷体" w:cstheme="minorEastAsia"/>
          <w:b/>
          <w:bCs w:val="0"/>
          <w:sz w:val="30"/>
          <w:szCs w:val="30"/>
          <w:lang w:val="en-US" w:eastAsia="zh-CN"/>
        </w:rPr>
        <w:t>八、重点项目预算的绩效目标等预算绩效情况说明</w:t>
      </w:r>
    </w:p>
    <w:p>
      <w:pPr>
        <w:ind w:firstLine="640" w:firstLineChars="200"/>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本年度无项目支出预算，无此项说明。</w:t>
      </w:r>
    </w:p>
    <w:p>
      <w:pPr>
        <w:ind w:firstLine="602" w:firstLineChars="200"/>
        <w:rPr>
          <w:rFonts w:hint="eastAsia" w:ascii="楷体" w:hAnsi="楷体" w:eastAsia="楷体" w:cstheme="minorEastAsia"/>
          <w:b/>
          <w:bCs w:val="0"/>
          <w:sz w:val="30"/>
          <w:szCs w:val="30"/>
          <w:lang w:val="en-US" w:eastAsia="zh-CN"/>
        </w:rPr>
      </w:pPr>
      <w:r>
        <w:rPr>
          <w:rFonts w:hint="eastAsia" w:ascii="楷体" w:hAnsi="楷体" w:eastAsia="楷体" w:cstheme="minorEastAsia"/>
          <w:b/>
          <w:bCs w:val="0"/>
          <w:sz w:val="30"/>
          <w:szCs w:val="30"/>
          <w:lang w:val="en-US" w:eastAsia="zh-CN"/>
        </w:rPr>
        <w:t>九、一般公共预算“三公”经费支出增减变化原因等说明</w:t>
      </w:r>
    </w:p>
    <w:p>
      <w:pPr>
        <w:ind w:firstLine="640" w:firstLineChars="200"/>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本部门2020年度一般公共预算“三公”经费预算数为0.08万元，较2019年减少0.02万元，下降20%，</w:t>
      </w:r>
      <w:r>
        <w:rPr>
          <w:rFonts w:hint="eastAsia" w:ascii="仿宋_GB2312" w:hAnsi="仿宋_GB2312" w:eastAsia="仿宋_GB2312" w:cs="仿宋_GB2312"/>
          <w:kern w:val="0"/>
          <w:sz w:val="32"/>
          <w:szCs w:val="32"/>
          <w:lang w:val="en-US" w:eastAsia="zh-CN" w:bidi="ar-SA"/>
        </w:rPr>
        <w:t>主要是由于压减经费，</w:t>
      </w:r>
      <w:r>
        <w:rPr>
          <w:rFonts w:hint="eastAsia" w:ascii="仿宋_GB2312" w:hAnsi="仿宋_GB2312" w:eastAsia="仿宋_GB2312" w:cs="仿宋_GB2312"/>
          <w:color w:val="auto"/>
          <w:sz w:val="32"/>
          <w:szCs w:val="32"/>
          <w:shd w:val="clear" w:color="auto" w:fill="FFFFFF"/>
          <w:lang w:val="en-US" w:eastAsia="zh-CN"/>
        </w:rPr>
        <w:t>其中：</w:t>
      </w:r>
    </w:p>
    <w:p>
      <w:pPr>
        <w:ind w:firstLine="640" w:firstLineChars="200"/>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（一）因公出国（境）支出年初预算数为0万元，因公出国（境）团组数为0，人数为0。较2018年增加（减少）0万元，增长（下降）0%。</w:t>
      </w:r>
    </w:p>
    <w:p>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auto"/>
          <w:sz w:val="32"/>
          <w:szCs w:val="32"/>
          <w:shd w:val="clear" w:color="auto" w:fill="FFFFFF"/>
          <w:lang w:val="en-US" w:eastAsia="zh-CN"/>
        </w:rPr>
        <w:t>（二）公务接待费支出年初预算数为0.08万元，较2019年减少0.02万元，下降20%，</w:t>
      </w:r>
      <w:r>
        <w:rPr>
          <w:rFonts w:hint="eastAsia" w:ascii="仿宋_GB2312" w:hAnsi="仿宋_GB2312" w:eastAsia="仿宋_GB2312" w:cs="仿宋_GB2312"/>
          <w:kern w:val="0"/>
          <w:sz w:val="32"/>
          <w:szCs w:val="32"/>
          <w:lang w:val="en-US" w:eastAsia="zh-CN" w:bidi="ar-SA"/>
        </w:rPr>
        <w:t>主要是由于压减经费。</w:t>
      </w:r>
    </w:p>
    <w:p>
      <w:pPr>
        <w:ind w:firstLine="640" w:firstLineChars="200"/>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三）公务用车购置及运行维护费支出0万元，其中公务用车购置年初预算数为0万元，较2018年增加（减少）0万元，增长（下降）0%；公务用车运行维护费支出年初预算数为0万元，较2018年增加（减少）0万元，增长（下降）0%。本年度公务用车购置</w:t>
      </w:r>
      <w:bookmarkStart w:id="0" w:name="_GoBack"/>
      <w:bookmarkEnd w:id="0"/>
      <w:r>
        <w:rPr>
          <w:rFonts w:hint="eastAsia" w:ascii="仿宋_GB2312" w:hAnsi="仿宋_GB2312" w:eastAsia="仿宋_GB2312" w:cs="仿宋_GB2312"/>
          <w:color w:val="auto"/>
          <w:sz w:val="32"/>
          <w:szCs w:val="32"/>
          <w:shd w:val="clear" w:color="auto" w:fill="FFFFFF"/>
          <w:lang w:val="en-US" w:eastAsia="zh-CN"/>
        </w:rPr>
        <w:t>数0辆，公务用车保有量0辆。</w:t>
      </w:r>
    </w:p>
    <w:p>
      <w:pPr>
        <w:ind w:firstLine="602" w:firstLineChars="200"/>
        <w:rPr>
          <w:rFonts w:hint="eastAsia" w:ascii="楷体" w:hAnsi="楷体" w:eastAsia="楷体" w:cstheme="minorEastAsia"/>
          <w:b/>
          <w:bCs w:val="0"/>
          <w:sz w:val="30"/>
          <w:szCs w:val="30"/>
          <w:lang w:val="en-US" w:eastAsia="zh-CN"/>
        </w:rPr>
      </w:pPr>
      <w:r>
        <w:rPr>
          <w:rFonts w:hint="eastAsia" w:ascii="楷体" w:hAnsi="楷体" w:eastAsia="楷体" w:cstheme="minorEastAsia"/>
          <w:b/>
          <w:bCs w:val="0"/>
          <w:sz w:val="30"/>
          <w:szCs w:val="30"/>
          <w:lang w:val="en-US" w:eastAsia="zh-CN"/>
        </w:rPr>
        <w:t>十、政府性基金预算支出预算情况说明</w:t>
      </w:r>
    </w:p>
    <w:p>
      <w:pPr>
        <w:ind w:firstLine="640" w:firstLineChars="200"/>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val="en-US"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3D16D4F"/>
    <w:rsid w:val="05E42E29"/>
    <w:rsid w:val="061E09E3"/>
    <w:rsid w:val="06A43BA7"/>
    <w:rsid w:val="087A6196"/>
    <w:rsid w:val="0C5A5250"/>
    <w:rsid w:val="0C64513E"/>
    <w:rsid w:val="0DE649EC"/>
    <w:rsid w:val="0EE25EB1"/>
    <w:rsid w:val="0FE14009"/>
    <w:rsid w:val="10CB3E8D"/>
    <w:rsid w:val="11F35FF2"/>
    <w:rsid w:val="12A354FC"/>
    <w:rsid w:val="13B93CE9"/>
    <w:rsid w:val="179A58B8"/>
    <w:rsid w:val="1B4A6025"/>
    <w:rsid w:val="1DF453AF"/>
    <w:rsid w:val="1E107510"/>
    <w:rsid w:val="1E643EFE"/>
    <w:rsid w:val="209E0EC3"/>
    <w:rsid w:val="22140CC1"/>
    <w:rsid w:val="23F76B95"/>
    <w:rsid w:val="24D63713"/>
    <w:rsid w:val="28E43D6B"/>
    <w:rsid w:val="2A937DAC"/>
    <w:rsid w:val="2AB30315"/>
    <w:rsid w:val="2DB60033"/>
    <w:rsid w:val="2F754CA8"/>
    <w:rsid w:val="2FB928F6"/>
    <w:rsid w:val="341824CB"/>
    <w:rsid w:val="343F3937"/>
    <w:rsid w:val="34D53928"/>
    <w:rsid w:val="36805BAD"/>
    <w:rsid w:val="37015ED3"/>
    <w:rsid w:val="37F03C58"/>
    <w:rsid w:val="39E01B38"/>
    <w:rsid w:val="3F5C42DA"/>
    <w:rsid w:val="42927FE7"/>
    <w:rsid w:val="43E475B8"/>
    <w:rsid w:val="458B37F5"/>
    <w:rsid w:val="467D2DBE"/>
    <w:rsid w:val="48832669"/>
    <w:rsid w:val="48E87EB6"/>
    <w:rsid w:val="4A4F3891"/>
    <w:rsid w:val="4AFA4BB2"/>
    <w:rsid w:val="4D9B3CEE"/>
    <w:rsid w:val="4DE00C87"/>
    <w:rsid w:val="4EBA5260"/>
    <w:rsid w:val="522F50B0"/>
    <w:rsid w:val="52567629"/>
    <w:rsid w:val="53674E82"/>
    <w:rsid w:val="582B68F4"/>
    <w:rsid w:val="5D083F24"/>
    <w:rsid w:val="5D306324"/>
    <w:rsid w:val="60860A87"/>
    <w:rsid w:val="60B46440"/>
    <w:rsid w:val="61C6166E"/>
    <w:rsid w:val="635C762A"/>
    <w:rsid w:val="68E3043A"/>
    <w:rsid w:val="6A0213FA"/>
    <w:rsid w:val="6FD93AE0"/>
    <w:rsid w:val="70803134"/>
    <w:rsid w:val="71FC58C7"/>
    <w:rsid w:val="7249546B"/>
    <w:rsid w:val="729F0AAD"/>
    <w:rsid w:val="7614749A"/>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 w:type="paragraph" w:customStyle="1" w:styleId="10">
    <w:name w:val="无间隔1"/>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尖尖小店</cp:lastModifiedBy>
  <cp:lastPrinted>2019-09-11T06:01:00Z</cp:lastPrinted>
  <dcterms:modified xsi:type="dcterms:W3CDTF">2021-06-03T09:12:27Z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3A2751FF4D3743AFB8F9B80DA0A345BB</vt:lpwstr>
  </property>
</Properties>
</file>