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theme="minorEastAsia"/>
          <w:sz w:val="44"/>
          <w:szCs w:val="44"/>
          <w:lang w:eastAsia="zh-CN"/>
        </w:rPr>
      </w:pPr>
    </w:p>
    <w:p>
      <w:pPr>
        <w:jc w:val="center"/>
        <w:rPr>
          <w:rFonts w:hint="eastAsia" w:ascii="黑体" w:hAnsi="黑体" w:eastAsia="黑体" w:cstheme="minorEastAsia"/>
          <w:sz w:val="44"/>
          <w:szCs w:val="44"/>
        </w:rPr>
      </w:pPr>
      <w:r>
        <w:rPr>
          <w:rFonts w:hint="eastAsia" w:ascii="黑体" w:hAnsi="黑体" w:eastAsia="黑体" w:cstheme="minorEastAsia"/>
          <w:sz w:val="44"/>
          <w:szCs w:val="44"/>
          <w:lang w:eastAsia="zh-CN"/>
        </w:rPr>
        <w:t>中国共产党襄垣县纪律检查委员会</w:t>
      </w:r>
      <w:r>
        <w:rPr>
          <w:rFonts w:hint="eastAsia" w:ascii="黑体" w:hAnsi="黑体" w:eastAsia="黑体" w:cstheme="minorEastAsia"/>
          <w:sz w:val="44"/>
          <w:szCs w:val="44"/>
        </w:rPr>
        <w:t>部门</w:t>
      </w:r>
    </w:p>
    <w:p>
      <w:pPr>
        <w:jc w:val="center"/>
        <w:rPr>
          <w:rFonts w:ascii="黑体" w:hAnsi="黑体" w:eastAsia="黑体" w:cstheme="minorEastAsia"/>
          <w:sz w:val="44"/>
          <w:szCs w:val="44"/>
        </w:rPr>
      </w:pPr>
      <w:r>
        <w:rPr>
          <w:rFonts w:hint="eastAsia" w:ascii="黑体" w:hAnsi="黑体" w:eastAsia="黑体" w:cstheme="minorEastAsia"/>
          <w:sz w:val="44"/>
          <w:szCs w:val="44"/>
        </w:rPr>
        <w:t>20</w:t>
      </w:r>
      <w:r>
        <w:rPr>
          <w:rFonts w:hint="eastAsia" w:ascii="黑体" w:hAnsi="黑体" w:eastAsia="黑体" w:cstheme="minorEastAsia"/>
          <w:sz w:val="44"/>
          <w:szCs w:val="44"/>
          <w:lang w:val="en-US" w:eastAsia="zh-CN"/>
        </w:rPr>
        <w:t>20</w:t>
      </w:r>
      <w:r>
        <w:rPr>
          <w:rFonts w:hint="eastAsia" w:ascii="黑体" w:hAnsi="黑体" w:eastAsia="黑体" w:cstheme="minorEastAsia"/>
          <w:sz w:val="44"/>
          <w:szCs w:val="44"/>
        </w:rPr>
        <w:t>年部门</w:t>
      </w:r>
      <w:r>
        <w:rPr>
          <w:rFonts w:hint="eastAsia" w:ascii="黑体" w:hAnsi="黑体" w:eastAsia="黑体" w:cstheme="minorEastAsia"/>
          <w:sz w:val="44"/>
          <w:szCs w:val="44"/>
          <w:lang w:eastAsia="zh-CN"/>
        </w:rPr>
        <w:t>预算</w:t>
      </w:r>
      <w:r>
        <w:rPr>
          <w:rFonts w:hint="eastAsia" w:ascii="黑体" w:hAnsi="黑体" w:eastAsia="黑体" w:cstheme="minorEastAsia"/>
          <w:sz w:val="44"/>
          <w:szCs w:val="44"/>
        </w:rPr>
        <w:t>公开</w:t>
      </w:r>
      <w:r>
        <w:rPr>
          <w:rFonts w:hint="eastAsia" w:ascii="黑体" w:hAnsi="黑体" w:eastAsia="黑体" w:cstheme="minorEastAsia"/>
          <w:sz w:val="44"/>
          <w:szCs w:val="44"/>
          <w:lang w:eastAsia="zh-CN"/>
        </w:rPr>
        <w:t>情况</w:t>
      </w:r>
      <w:r>
        <w:rPr>
          <w:rFonts w:hint="eastAsia" w:ascii="黑体" w:hAnsi="黑体" w:eastAsia="黑体" w:cstheme="minorEastAsia"/>
          <w:sz w:val="44"/>
          <w:szCs w:val="44"/>
        </w:rPr>
        <w:t>说明</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3" w:firstLineChars="200"/>
        <w:rPr>
          <w:rFonts w:hint="eastAsia" w:ascii="楷体" w:hAnsi="楷体" w:eastAsia="楷体" w:cstheme="minorEastAsia"/>
          <w:b/>
          <w:bCs w:val="0"/>
          <w:sz w:val="32"/>
          <w:szCs w:val="32"/>
        </w:rPr>
      </w:pPr>
      <w:r>
        <w:rPr>
          <w:rFonts w:hint="eastAsia" w:ascii="楷体" w:hAnsi="楷体" w:eastAsia="楷体" w:cstheme="minorEastAsia"/>
          <w:b/>
          <w:bCs w:val="0"/>
          <w:sz w:val="32"/>
          <w:szCs w:val="32"/>
        </w:rPr>
        <w:t>一、部门主要职能</w:t>
      </w:r>
    </w:p>
    <w:p>
      <w:pPr>
        <w:ind w:firstLine="600" w:firstLineChars="200"/>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（一） 主管全县党的纪律检查工作，负责贯彻落实上级党委、纪委和县委关于加强党风廉政建设的决定，维护党的章程和其他党内法规，检查党的路线、方针、政策和决议的执行情况；负责对党风廉政建设责任制执行情况进行监督检查。 </w:t>
      </w:r>
    </w:p>
    <w:p>
      <w:pPr>
        <w:ind w:firstLine="600" w:firstLineChars="200"/>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（二） 负责全县监察工作。</w:t>
      </w:r>
    </w:p>
    <w:p>
      <w:pPr>
        <w:ind w:firstLine="600" w:firstLineChars="200"/>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（三） 负责组织协调全县党风廉政建设和反腐败工作，承担县委反腐败领导小组办公室的工作职责。</w:t>
      </w:r>
    </w:p>
    <w:p>
      <w:pPr>
        <w:ind w:firstLine="600" w:firstLineChars="200"/>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（四） 负责检查并处理县级机关部门、各乡镇（区）的组织和县委管理的党员领导干部违反党的章程及党内法规的案件，决定对这些案件中的党组织和党员的处分或提出给予处分的建议。必要时直接查处下级党的纪律检查</w:t>
      </w:r>
      <w:bookmarkStart w:id="0" w:name="_GoBack"/>
      <w:bookmarkEnd w:id="0"/>
      <w:r>
        <w:rPr>
          <w:rFonts w:hint="eastAsia" w:ascii="仿宋" w:hAnsi="仿宋" w:eastAsia="仿宋" w:cs="仿宋_GB2312"/>
          <w:color w:val="auto"/>
          <w:kern w:val="2"/>
          <w:sz w:val="30"/>
          <w:szCs w:val="30"/>
          <w:lang w:val="en-US" w:eastAsia="zh-CN" w:bidi="ar"/>
        </w:rPr>
        <w:t>机关管辖范围内的案件。</w:t>
      </w:r>
    </w:p>
    <w:p>
      <w:pPr>
        <w:ind w:firstLine="600" w:firstLineChars="200"/>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五）在县委领导下会同有关部门，做好纪检监察干部的管理工作；负责审核、考察乡镇纪委领导班子的人选；负责县纪委监委派出纪检监察机构领导干部的提名、考核和管理，组织和指导全县纪检监察干部的培训工作。</w:t>
      </w:r>
    </w:p>
    <w:p>
      <w:pPr>
        <w:ind w:firstLine="600" w:firstLineChars="200"/>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六）对管辖范围内的全县公职人员开展廉政教育，对其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县人民检察院依法审查、提起公诉；向监察对象所在单位提出监察建议。</w:t>
      </w:r>
    </w:p>
    <w:p>
      <w:pPr>
        <w:ind w:firstLine="600" w:firstLineChars="200"/>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（七） 受理党员的控告和申诉；受理监察对象不服政务处分的申诉；受理个人或单位对党员干部和监察对象违纪行为的检举、控告；保护党员和国家工作人员的正当权利和合法权益。 </w:t>
      </w:r>
    </w:p>
    <w:p>
      <w:pPr>
        <w:ind w:firstLine="600" w:firstLineChars="200"/>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（八） 配合有关部门做好党的纪律检查工作和监察工作的方针、政策、法律、法规的宣传工作；教育党员和国家工作人员遵纪守法，为政清廉。</w:t>
      </w:r>
    </w:p>
    <w:p>
      <w:pPr>
        <w:ind w:firstLine="600" w:firstLineChars="200"/>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（九） 负责对党的纪律检查和监察工作的理论研究；对党风廉政建设和反腐败工作中带苗头性、倾向性的问题进行调查研究。</w:t>
      </w:r>
    </w:p>
    <w:p>
      <w:pPr>
        <w:ind w:firstLine="643" w:firstLineChars="200"/>
        <w:rPr>
          <w:rFonts w:ascii="楷体" w:hAnsi="楷体" w:eastAsia="楷体" w:cstheme="minorEastAsia"/>
          <w:b/>
          <w:bCs w:val="0"/>
          <w:sz w:val="32"/>
          <w:szCs w:val="32"/>
        </w:rPr>
      </w:pPr>
      <w:r>
        <w:rPr>
          <w:rFonts w:hint="eastAsia" w:ascii="楷体" w:hAnsi="楷体" w:eastAsia="楷体" w:cstheme="minorEastAsia"/>
          <w:b/>
          <w:bCs w:val="0"/>
          <w:sz w:val="32"/>
          <w:szCs w:val="32"/>
        </w:rPr>
        <w:t>二、部门基本情况</w:t>
      </w:r>
    </w:p>
    <w:p>
      <w:pPr>
        <w:widowControl/>
        <w:spacing w:line="324" w:lineRule="atLeast"/>
        <w:ind w:left="540"/>
        <w:jc w:val="left"/>
        <w:rPr>
          <w:rFonts w:hint="eastAsia" w:ascii="仿宋_GB2312" w:hAnsi="楷体" w:eastAsia="仿宋_GB2312" w:cs="宋体"/>
          <w:b w:val="0"/>
          <w:bCs/>
          <w:color w:val="333333"/>
          <w:kern w:val="0"/>
          <w:sz w:val="18"/>
          <w:szCs w:val="18"/>
          <w:lang w:eastAsia="zh-CN"/>
        </w:rPr>
      </w:pPr>
      <w:r>
        <w:rPr>
          <w:rFonts w:hint="eastAsia" w:ascii="仿宋_GB2312" w:hAnsi="楷体" w:eastAsia="仿宋_GB2312" w:cs="宋体"/>
          <w:b w:val="0"/>
          <w:bCs/>
          <w:color w:val="333333"/>
          <w:kern w:val="0"/>
          <w:sz w:val="32"/>
          <w:szCs w:val="32"/>
        </w:rPr>
        <w:t>（一）</w:t>
      </w:r>
      <w:r>
        <w:rPr>
          <w:rFonts w:hint="eastAsia" w:ascii="仿宋_GB2312" w:hAnsi="楷体" w:eastAsia="仿宋_GB2312" w:cs="宋体"/>
          <w:b w:val="0"/>
          <w:bCs/>
          <w:color w:val="333333"/>
          <w:kern w:val="0"/>
          <w:sz w:val="32"/>
          <w:szCs w:val="32"/>
          <w:lang w:eastAsia="zh-CN"/>
        </w:rPr>
        <w:t>机构设置情况</w:t>
      </w:r>
    </w:p>
    <w:p>
      <w:pPr>
        <w:ind w:firstLine="645"/>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 xml:space="preserve">襄垣县纪委监委属行政正科级单位，共有编制112个，其中行政编制95个（行政干部92个，行政工勤3个），事业编制17个。单位实有在编在岗人数行政79人（行政干部77人，行政工勤2人）；事业14人。机关内设12个行政科室（办公室、信访室、党风政风监督室、第一案件审理室、第二案件审理室、案件监督管理室、第一至四执纪监督室、第一至二执纪审查室）；2个中心（纪检监察干部教育培训中心、纪检网络举报中心）；10个派驻纪检组及1个县直纪工委。  </w:t>
      </w:r>
    </w:p>
    <w:p>
      <w:pPr>
        <w:widowControl/>
        <w:spacing w:line="324" w:lineRule="atLeast"/>
        <w:ind w:left="540"/>
        <w:jc w:val="left"/>
        <w:rPr>
          <w:rFonts w:ascii="仿宋_GB2312" w:hAnsi="楷体" w:eastAsia="仿宋_GB2312" w:cs="宋体"/>
          <w:b w:val="0"/>
          <w:bCs/>
          <w:color w:val="333333"/>
          <w:kern w:val="0"/>
          <w:sz w:val="32"/>
          <w:szCs w:val="32"/>
        </w:rPr>
      </w:pPr>
      <w:r>
        <w:rPr>
          <w:rFonts w:hint="eastAsia" w:ascii="仿宋_GB2312" w:hAnsi="楷体" w:eastAsia="仿宋_GB2312" w:cs="宋体"/>
          <w:b w:val="0"/>
          <w:bCs/>
          <w:color w:val="333333"/>
          <w:kern w:val="0"/>
          <w:sz w:val="32"/>
          <w:szCs w:val="32"/>
        </w:rPr>
        <w:t>（二）人员情况说明</w:t>
      </w:r>
    </w:p>
    <w:p>
      <w:pPr>
        <w:ind w:firstLine="645"/>
        <w:rPr>
          <w:rFonts w:hint="eastAsia" w:ascii="仿宋_GB2312" w:hAnsi="仿宋" w:eastAsia="仿宋_GB2312" w:cstheme="minorEastAsia"/>
          <w:color w:val="auto"/>
          <w:sz w:val="32"/>
          <w:szCs w:val="32"/>
        </w:rPr>
      </w:pPr>
      <w:r>
        <w:rPr>
          <w:rFonts w:hint="eastAsia" w:ascii="仿宋" w:hAnsi="仿宋" w:eastAsia="仿宋" w:cs="仿宋_GB2312"/>
          <w:color w:val="auto"/>
          <w:kern w:val="2"/>
          <w:sz w:val="32"/>
          <w:szCs w:val="32"/>
          <w:lang w:val="en-US" w:eastAsia="zh-CN" w:bidi="ar"/>
        </w:rPr>
        <w:t>现有行政、事业编制112名，其中，行政编制95名，事业编制17名。实有93人，其中公务员77名，行政工勤2人，事业人员14名，其他0人。</w:t>
      </w:r>
    </w:p>
    <w:p>
      <w:pPr>
        <w:ind w:firstLine="640" w:firstLineChars="200"/>
        <w:rPr>
          <w:rFonts w:hint="eastAsia" w:ascii="黑体" w:hAnsi="黑体" w:eastAsia="黑体" w:cstheme="minorEastAsia"/>
          <w:color w:val="C00000"/>
          <w:sz w:val="32"/>
          <w:szCs w:val="32"/>
          <w:lang w:eastAsia="zh-CN"/>
        </w:rPr>
      </w:pPr>
      <w:r>
        <w:rPr>
          <w:rFonts w:hint="eastAsia" w:ascii="黑体" w:hAnsi="黑体" w:eastAsia="黑体" w:cstheme="minorEastAsia"/>
          <w:sz w:val="32"/>
          <w:szCs w:val="32"/>
          <w:lang w:eastAsia="zh-CN"/>
        </w:rPr>
        <w:t>三、预算收支增减变化情况说明</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中国共产党襄垣县纪律检查委员会部门2020年度收入、支出预算总计983.38万元，与上年相比收、支预算总计各增加（减少）185.75万元，增长23.29%。主要原因是工资福利、社会保障等的正常增长。其中：</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（一）收入预算总计983.38万元。包括：</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1．财政拨款收入预算总计983.38万元。</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（1）一般公共预算收入预算983.38万元，与上年相比增加185.75万元，增长23.29%。主要原因是工资正常增长、等原因。</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（2）政府性基金收入预算0万元，与上年相比增加（减少）0万元，增长（减少）0 %。</w:t>
      </w:r>
    </w:p>
    <w:p>
      <w:pPr>
        <w:ind w:firstLine="645"/>
        <w:rPr>
          <w:rFonts w:hint="default"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2．财政专户管理资金收入预算总计0万元。与上年相比增加（减少）0万元，增长（减少）0 %。</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3．其他资金收入预算总计0万元。与上年相比增加（减少）0万元，增长（减少）0%。</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4．上年结转资金预算数为0万元。与上年相比增加（减少）0万元，增长（减少）0 %。</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（二）支出预算总计983.38万元。包括：</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1．一般公共服务（类）支出983.38万元，主要用于工资福利支出、社会保障与就业、医疗卫生级住房保障等支出。与上年相比增加185.75万元，增长23.29 %。主要是工资正常增长等原因。</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2．公共安全（类）支出0万元。与上年相比增加（减少）0万元，增长（减少）0 %。</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3．结转下年资金预算数为0万元。</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此外，基本支出预算数为983.38万元。与上年相比增加185.75万元，增长23.29%。主要原因是工资福利等正常增长的支出。</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项目支出预算数为46.51万元。与上年相比增加（减少）46.51万元，增长（减少）100 %。</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单位预留机动经费预算数为0万元。与上年相比增加（减少）0万元，增长（减少）0 %。</w:t>
      </w:r>
    </w:p>
    <w:p>
      <w:pPr>
        <w:ind w:firstLine="640" w:firstLineChars="200"/>
        <w:rPr>
          <w:rFonts w:hint="eastAsia" w:ascii="楷体" w:hAnsi="楷体" w:eastAsia="楷体" w:cstheme="minorEastAsia"/>
          <w:b w:val="0"/>
          <w:bCs/>
          <w:sz w:val="32"/>
          <w:szCs w:val="32"/>
          <w:lang w:eastAsia="zh-CN"/>
        </w:rPr>
      </w:pPr>
      <w:r>
        <w:rPr>
          <w:rFonts w:hint="eastAsia" w:ascii="楷体" w:hAnsi="楷体" w:eastAsia="楷体" w:cstheme="minorEastAsia"/>
          <w:b w:val="0"/>
          <w:bCs/>
          <w:sz w:val="32"/>
          <w:szCs w:val="32"/>
          <w:lang w:eastAsia="zh-CN"/>
        </w:rPr>
        <w:t>四</w:t>
      </w:r>
      <w:r>
        <w:rPr>
          <w:rFonts w:hint="eastAsia" w:ascii="楷体" w:hAnsi="楷体" w:eastAsia="楷体" w:cstheme="minorEastAsia"/>
          <w:b w:val="0"/>
          <w:bCs/>
          <w:sz w:val="32"/>
          <w:szCs w:val="32"/>
        </w:rPr>
        <w:t>、</w:t>
      </w:r>
      <w:r>
        <w:rPr>
          <w:rFonts w:hint="eastAsia" w:ascii="楷体" w:hAnsi="楷体" w:eastAsia="楷体" w:cstheme="minorEastAsia"/>
          <w:b w:val="0"/>
          <w:bCs/>
          <w:sz w:val="32"/>
          <w:szCs w:val="32"/>
          <w:lang w:eastAsia="zh-CN"/>
        </w:rPr>
        <w:t>机关运行经费安排情况说明</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本单位</w:t>
      </w:r>
      <w:r>
        <w:rPr>
          <w:rFonts w:hint="eastAsia" w:ascii="仿宋" w:hAnsi="仿宋" w:eastAsia="仿宋" w:cs="仿宋"/>
          <w:color w:val="auto"/>
          <w:sz w:val="32"/>
          <w:szCs w:val="32"/>
        </w:rPr>
        <w:t>机关运行经费</w:t>
      </w:r>
      <w:r>
        <w:rPr>
          <w:rFonts w:hint="eastAsia" w:ascii="仿宋" w:hAnsi="仿宋" w:eastAsia="仿宋" w:cs="仿宋"/>
          <w:color w:val="auto"/>
          <w:sz w:val="32"/>
          <w:szCs w:val="32"/>
          <w:lang w:eastAsia="zh-CN"/>
        </w:rPr>
        <w:t>支出预算数为</w:t>
      </w:r>
      <w:r>
        <w:rPr>
          <w:rFonts w:hint="eastAsia" w:ascii="仿宋" w:hAnsi="仿宋" w:eastAsia="仿宋" w:cs="仿宋"/>
          <w:color w:val="auto"/>
          <w:sz w:val="32"/>
          <w:szCs w:val="32"/>
          <w:lang w:val="en-US" w:eastAsia="zh-CN"/>
        </w:rPr>
        <w:t>38.8万元，较2019年减少47.2万元，其中：</w:t>
      </w:r>
      <w:r>
        <w:rPr>
          <w:rFonts w:hint="eastAsia" w:ascii="仿宋" w:hAnsi="仿宋" w:eastAsia="仿宋" w:cs="仿宋"/>
          <w:color w:val="auto"/>
          <w:sz w:val="32"/>
          <w:szCs w:val="32"/>
        </w:rPr>
        <w:t>办公费</w:t>
      </w:r>
      <w:r>
        <w:rPr>
          <w:rFonts w:hint="eastAsia" w:ascii="仿宋" w:hAnsi="仿宋" w:eastAsia="仿宋" w:cs="仿宋"/>
          <w:color w:val="auto"/>
          <w:sz w:val="32"/>
          <w:szCs w:val="32"/>
          <w:lang w:eastAsia="zh-CN"/>
        </w:rPr>
        <w:t>支出</w:t>
      </w:r>
      <w:r>
        <w:rPr>
          <w:rFonts w:hint="eastAsia" w:ascii="仿宋" w:hAnsi="仿宋" w:eastAsia="仿宋" w:cs="仿宋"/>
          <w:color w:val="auto"/>
          <w:sz w:val="32"/>
          <w:szCs w:val="32"/>
          <w:lang w:val="en-US" w:eastAsia="zh-CN"/>
        </w:rPr>
        <w:t>5万元</w:t>
      </w:r>
      <w:r>
        <w:rPr>
          <w:rFonts w:hint="eastAsia" w:ascii="仿宋" w:hAnsi="仿宋" w:eastAsia="仿宋" w:cs="仿宋"/>
          <w:color w:val="auto"/>
          <w:sz w:val="32"/>
          <w:szCs w:val="32"/>
        </w:rPr>
        <w:t>、印刷费</w:t>
      </w:r>
      <w:r>
        <w:rPr>
          <w:rFonts w:hint="eastAsia" w:ascii="仿宋" w:hAnsi="仿宋" w:eastAsia="仿宋" w:cs="仿宋"/>
          <w:color w:val="auto"/>
          <w:sz w:val="32"/>
          <w:szCs w:val="32"/>
          <w:lang w:eastAsia="zh-CN"/>
        </w:rPr>
        <w:t>支出</w:t>
      </w:r>
      <w:r>
        <w:rPr>
          <w:rFonts w:hint="eastAsia" w:ascii="仿宋" w:hAnsi="仿宋" w:eastAsia="仿宋" w:cs="仿宋"/>
          <w:color w:val="auto"/>
          <w:sz w:val="32"/>
          <w:szCs w:val="32"/>
          <w:lang w:val="en-US" w:eastAsia="zh-CN"/>
        </w:rPr>
        <w:t>3万元</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水</w:t>
      </w:r>
      <w:r>
        <w:rPr>
          <w:rFonts w:hint="eastAsia" w:ascii="仿宋" w:hAnsi="仿宋" w:eastAsia="仿宋" w:cs="仿宋"/>
          <w:color w:val="auto"/>
          <w:sz w:val="32"/>
          <w:szCs w:val="32"/>
        </w:rPr>
        <w:t>费</w:t>
      </w:r>
      <w:r>
        <w:rPr>
          <w:rFonts w:hint="eastAsia" w:ascii="仿宋" w:hAnsi="仿宋" w:eastAsia="仿宋" w:cs="仿宋"/>
          <w:color w:val="auto"/>
          <w:sz w:val="32"/>
          <w:szCs w:val="32"/>
          <w:lang w:eastAsia="zh-CN"/>
        </w:rPr>
        <w:t>支出</w:t>
      </w:r>
      <w:r>
        <w:rPr>
          <w:rFonts w:hint="eastAsia" w:ascii="仿宋" w:hAnsi="仿宋" w:eastAsia="仿宋" w:cs="仿宋"/>
          <w:color w:val="auto"/>
          <w:sz w:val="32"/>
          <w:szCs w:val="32"/>
          <w:lang w:val="en-US" w:eastAsia="zh-CN"/>
        </w:rPr>
        <w:t>0.5、电费支出2万元、邮电费1万元、劳务费8万元、工会经费8.1万元、福利费7万元、其他商品和服务支出4.2万元</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主要增减变化情况：经费较上年有所减少，按照勤俭节约的预算总要求，压减一般性支出，降低行政运行成本。</w:t>
      </w:r>
    </w:p>
    <w:p>
      <w:pPr>
        <w:ind w:firstLine="640" w:firstLineChars="200"/>
        <w:rPr>
          <w:rFonts w:hint="eastAsia" w:ascii="楷体" w:hAnsi="楷体" w:eastAsia="楷体" w:cstheme="minorEastAsia"/>
          <w:b w:val="0"/>
          <w:bCs/>
          <w:sz w:val="32"/>
          <w:szCs w:val="32"/>
        </w:rPr>
      </w:pPr>
      <w:r>
        <w:rPr>
          <w:rFonts w:hint="eastAsia" w:ascii="仿宋_GB2312" w:eastAsia="仿宋_GB2312" w:hAnsiTheme="minorEastAsia" w:cstheme="minorEastAsia"/>
          <w:color w:val="auto"/>
          <w:sz w:val="32"/>
          <w:szCs w:val="32"/>
          <w:lang w:eastAsia="zh-CN"/>
        </w:rPr>
        <w:t>五、</w:t>
      </w:r>
      <w:r>
        <w:rPr>
          <w:rFonts w:hint="eastAsia" w:ascii="楷体" w:hAnsi="楷体" w:eastAsia="楷体" w:cstheme="minorEastAsia"/>
          <w:b w:val="0"/>
          <w:bCs/>
          <w:sz w:val="32"/>
          <w:szCs w:val="32"/>
        </w:rPr>
        <w:t>政府采购</w:t>
      </w:r>
      <w:r>
        <w:rPr>
          <w:rFonts w:hint="eastAsia" w:ascii="楷体" w:hAnsi="楷体" w:eastAsia="楷体" w:cstheme="minorEastAsia"/>
          <w:b w:val="0"/>
          <w:bCs/>
          <w:sz w:val="32"/>
          <w:szCs w:val="32"/>
          <w:lang w:eastAsia="zh-CN"/>
        </w:rPr>
        <w:t>安排</w:t>
      </w:r>
      <w:r>
        <w:rPr>
          <w:rFonts w:hint="eastAsia" w:ascii="楷体" w:hAnsi="楷体" w:eastAsia="楷体" w:cstheme="minorEastAsia"/>
          <w:b w:val="0"/>
          <w:bCs/>
          <w:sz w:val="32"/>
          <w:szCs w:val="32"/>
        </w:rPr>
        <w:t>情况说明</w:t>
      </w:r>
    </w:p>
    <w:p>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本部门20</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年度政府采购</w:t>
      </w:r>
      <w:r>
        <w:rPr>
          <w:rFonts w:hint="eastAsia" w:ascii="仿宋" w:hAnsi="仿宋" w:eastAsia="仿宋" w:cs="仿宋"/>
          <w:color w:val="auto"/>
          <w:sz w:val="32"/>
          <w:szCs w:val="32"/>
          <w:lang w:eastAsia="zh-CN"/>
        </w:rPr>
        <w:t>安排</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万元，其中：政府采购货物支出</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万元、政府采购工程支出0万元、政府采购服务支出0万元。授予中小企业合同金额0万元，占政府采购支出总额的0%。</w:t>
      </w:r>
    </w:p>
    <w:p>
      <w:pPr>
        <w:ind w:firstLine="640" w:firstLineChars="200"/>
        <w:rPr>
          <w:rFonts w:hint="eastAsia" w:ascii="楷体" w:hAnsi="楷体" w:eastAsia="楷体" w:cstheme="minorEastAsia"/>
          <w:b w:val="0"/>
          <w:bCs/>
          <w:sz w:val="32"/>
          <w:szCs w:val="32"/>
          <w:lang w:eastAsia="zh-CN"/>
        </w:rPr>
      </w:pPr>
      <w:r>
        <w:rPr>
          <w:rFonts w:hint="eastAsia" w:ascii="楷体" w:hAnsi="楷体" w:eastAsia="楷体" w:cstheme="minorEastAsia"/>
          <w:b w:val="0"/>
          <w:bCs/>
          <w:sz w:val="32"/>
          <w:szCs w:val="32"/>
          <w:lang w:eastAsia="zh-CN"/>
        </w:rPr>
        <w:t>六</w:t>
      </w:r>
      <w:r>
        <w:rPr>
          <w:rFonts w:hint="eastAsia" w:ascii="楷体" w:hAnsi="楷体" w:eastAsia="楷体" w:cstheme="minorEastAsia"/>
          <w:b w:val="0"/>
          <w:bCs/>
          <w:sz w:val="32"/>
          <w:szCs w:val="32"/>
        </w:rPr>
        <w:t>、</w:t>
      </w:r>
      <w:r>
        <w:rPr>
          <w:rFonts w:hint="eastAsia" w:ascii="楷体" w:hAnsi="楷体" w:eastAsia="楷体" w:cstheme="minorEastAsia"/>
          <w:b w:val="0"/>
          <w:bCs/>
          <w:sz w:val="32"/>
          <w:szCs w:val="32"/>
          <w:lang w:eastAsia="zh-CN"/>
        </w:rPr>
        <w:t>对专业性较强的名词进行解释</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财政拨款收入：指单位本年度从本级财政部门取得的财政拨款，包括一般公共预算财政拨款和政府性基金预算财政拨款。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上级补助收入：指事业单位从主管部门和上级单位取得的非财政补助收入。</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 xml:space="preserve">事业收入：指事业单位开展专业业务活动及其辅助活动取得的收入；事业单位收到的财政专户实际核拨的教育收费等资金在此反映。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经营收入：指事业单位在专业业务活动及其辅助活动之外开展非独立核算经营活动取得的收入。</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附属单位缴款：指事业单位附属独立核算单位按照有关规定上缴的收入。</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 xml:space="preserve">其他收入：指单位取得的除上述“财政拨款收入”、“事业收入”、“经营收入”、“附属单位缴款”等以外的各项收入。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 xml:space="preserve">用事业基金弥补收支差额：指事业单位用事业基金弥补当年收支差额的数额。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（八）</w:t>
      </w:r>
      <w:r>
        <w:rPr>
          <w:rFonts w:hint="eastAsia" w:ascii="仿宋" w:hAnsi="仿宋" w:eastAsia="仿宋" w:cs="仿宋"/>
          <w:color w:val="auto"/>
          <w:sz w:val="32"/>
          <w:szCs w:val="32"/>
        </w:rPr>
        <w:t xml:space="preserve">年初结转和结余：指单位上年结转本年使用的基本支出结转、项目支出结转和结余和经营结余。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（九）</w:t>
      </w:r>
      <w:r>
        <w:rPr>
          <w:rFonts w:hint="eastAsia" w:ascii="仿宋" w:hAnsi="仿宋" w:eastAsia="仿宋" w:cs="仿宋"/>
          <w:color w:val="auto"/>
          <w:sz w:val="32"/>
          <w:szCs w:val="32"/>
        </w:rPr>
        <w:t xml:space="preserve">结余分配：指事业单位按规定对非财政补助结余资金提取的职工福利基金、事业基金和缴纳的所得税，以及减少单位按规定应缴回的基本建设竣工项目结余资金。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（十）</w:t>
      </w:r>
      <w:r>
        <w:rPr>
          <w:rFonts w:hint="eastAsia" w:ascii="仿宋" w:hAnsi="仿宋" w:eastAsia="仿宋" w:cs="仿宋"/>
          <w:color w:val="auto"/>
          <w:sz w:val="32"/>
          <w:szCs w:val="32"/>
        </w:rPr>
        <w:t>年末结转和结余资金：指单位结转下年的基本支出结转、项目支出结转和结余和经营结余。</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十一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基本支出：指为保障机构正常运转、完成日常工作任务而发生的人员支出和公用支出。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十二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项目支出：指在基本支出之外为完成特定的行政任务或事业发展目标所发生的支出。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十三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上缴上级支出：指事业单位按照财政部门和主管部门的规定上缴上级单位的支出。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十四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经营支出：指事业单位在专业业务活动及其辅助活动之外开展非独立核算经营活动发生的支出。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十五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对附属单位补助支出：指事业单位用财政补助收入之外的收入对附属单位补助发生的支出。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十六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十七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hint="eastAsia" w:ascii="楷体" w:hAnsi="楷体" w:eastAsia="楷体" w:cstheme="minorEastAsia"/>
          <w:b w:val="0"/>
          <w:bCs/>
          <w:sz w:val="32"/>
          <w:szCs w:val="32"/>
          <w:lang w:val="en-US" w:eastAsia="zh-CN"/>
        </w:rPr>
      </w:pPr>
      <w:r>
        <w:rPr>
          <w:rFonts w:hint="eastAsia" w:ascii="楷体" w:hAnsi="楷体" w:eastAsia="楷体" w:cstheme="minorEastAsia"/>
          <w:b w:val="0"/>
          <w:bCs/>
          <w:sz w:val="32"/>
          <w:szCs w:val="32"/>
          <w:lang w:eastAsia="zh-CN"/>
        </w:rPr>
        <w:t>七、国有</w:t>
      </w:r>
      <w:r>
        <w:rPr>
          <w:rFonts w:hint="eastAsia" w:ascii="楷体" w:hAnsi="楷体" w:eastAsia="楷体" w:cstheme="minorEastAsia"/>
          <w:b w:val="0"/>
          <w:bCs/>
          <w:sz w:val="32"/>
          <w:szCs w:val="32"/>
          <w:lang w:val="en-US" w:eastAsia="zh-CN"/>
        </w:rPr>
        <w:t>资产占用情况说明</w:t>
      </w:r>
    </w:p>
    <w:p>
      <w:pPr>
        <w:pStyle w:val="4"/>
        <w:keepNext w:val="0"/>
        <w:keepLines w:val="0"/>
        <w:widowControl/>
        <w:suppressLineNumbers w:val="0"/>
        <w:spacing w:before="150" w:beforeAutospacing="0" w:after="150" w:afterAutospacing="0" w:line="465" w:lineRule="atLeast"/>
        <w:ind w:righ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截止201</w:t>
      </w:r>
      <w:r>
        <w:rPr>
          <w:rFonts w:hint="eastAsia" w:ascii="仿宋" w:hAnsi="仿宋" w:eastAsia="仿宋" w:cs="仿宋"/>
          <w:color w:val="auto"/>
          <w:sz w:val="32"/>
          <w:szCs w:val="32"/>
          <w:shd w:val="clear" w:color="auto" w:fill="FFFFFF"/>
          <w:lang w:val="en-US" w:eastAsia="zh-CN"/>
        </w:rPr>
        <w:t>9</w:t>
      </w:r>
      <w:r>
        <w:rPr>
          <w:rFonts w:hint="eastAsia" w:ascii="仿宋" w:hAnsi="仿宋" w:eastAsia="仿宋" w:cs="仿宋"/>
          <w:color w:val="auto"/>
          <w:sz w:val="32"/>
          <w:szCs w:val="32"/>
          <w:shd w:val="clear" w:color="auto" w:fill="FFFFFF"/>
        </w:rPr>
        <w:t>年12月31日，</w:t>
      </w:r>
      <w:r>
        <w:rPr>
          <w:rFonts w:hint="eastAsia" w:ascii="仿宋" w:hAnsi="仿宋" w:eastAsia="仿宋" w:cs="仿宋"/>
          <w:color w:val="auto"/>
          <w:sz w:val="32"/>
          <w:szCs w:val="32"/>
          <w:shd w:val="clear" w:color="auto" w:fill="FFFFFF"/>
          <w:lang w:eastAsia="zh-CN"/>
        </w:rPr>
        <w:t>本单位</w:t>
      </w:r>
      <w:r>
        <w:rPr>
          <w:rFonts w:hint="eastAsia" w:ascii="仿宋" w:hAnsi="仿宋" w:eastAsia="仿宋" w:cs="仿宋"/>
          <w:color w:val="auto"/>
          <w:sz w:val="32"/>
          <w:szCs w:val="32"/>
          <w:shd w:val="clear" w:color="auto" w:fill="FFFFFF"/>
        </w:rPr>
        <w:t>资产总额</w:t>
      </w:r>
      <w:r>
        <w:rPr>
          <w:rFonts w:hint="eastAsia" w:ascii="仿宋" w:hAnsi="仿宋" w:eastAsia="仿宋" w:cs="仿宋"/>
          <w:color w:val="auto"/>
          <w:sz w:val="32"/>
          <w:szCs w:val="32"/>
          <w:shd w:val="clear" w:color="auto" w:fill="FFFFFF"/>
          <w:lang w:val="en-US" w:eastAsia="zh-CN"/>
        </w:rPr>
        <w:t>325.62</w:t>
      </w:r>
      <w:r>
        <w:rPr>
          <w:rFonts w:hint="eastAsia" w:ascii="仿宋" w:hAnsi="仿宋" w:eastAsia="仿宋" w:cs="仿宋"/>
          <w:color w:val="auto"/>
          <w:sz w:val="32"/>
          <w:szCs w:val="32"/>
          <w:shd w:val="clear" w:color="auto" w:fill="FFFFFF"/>
        </w:rPr>
        <w:t>万元，其中流动资产</w:t>
      </w:r>
      <w:r>
        <w:rPr>
          <w:rFonts w:hint="eastAsia" w:ascii="仿宋" w:hAnsi="仿宋" w:eastAsia="仿宋" w:cs="仿宋"/>
          <w:color w:val="auto"/>
          <w:sz w:val="32"/>
          <w:szCs w:val="32"/>
          <w:shd w:val="clear" w:color="auto" w:fill="FFFFFF"/>
          <w:lang w:val="en-US" w:eastAsia="zh-CN"/>
        </w:rPr>
        <w:t>1.8</w:t>
      </w:r>
      <w:r>
        <w:rPr>
          <w:rFonts w:hint="eastAsia" w:ascii="仿宋" w:hAnsi="仿宋" w:eastAsia="仿宋" w:cs="仿宋"/>
          <w:color w:val="auto"/>
          <w:sz w:val="32"/>
          <w:szCs w:val="32"/>
          <w:shd w:val="clear" w:color="auto" w:fill="FFFFFF"/>
        </w:rPr>
        <w:t>万元，固定资产</w:t>
      </w:r>
      <w:r>
        <w:rPr>
          <w:rFonts w:hint="eastAsia" w:ascii="仿宋" w:hAnsi="仿宋" w:eastAsia="仿宋" w:cs="仿宋"/>
          <w:color w:val="auto"/>
          <w:sz w:val="32"/>
          <w:szCs w:val="32"/>
          <w:shd w:val="clear" w:color="auto" w:fill="FFFFFF"/>
          <w:lang w:val="en-US" w:eastAsia="zh-CN"/>
        </w:rPr>
        <w:t>323.47</w:t>
      </w:r>
      <w:r>
        <w:rPr>
          <w:rFonts w:hint="eastAsia" w:ascii="仿宋" w:hAnsi="仿宋" w:eastAsia="仿宋" w:cs="仿宋"/>
          <w:color w:val="auto"/>
          <w:sz w:val="32"/>
          <w:szCs w:val="32"/>
          <w:shd w:val="clear" w:color="auto" w:fill="FFFFFF"/>
        </w:rPr>
        <w:t>万元，在建工程</w:t>
      </w:r>
      <w:r>
        <w:rPr>
          <w:rFonts w:hint="eastAsia" w:ascii="仿宋" w:hAnsi="仿宋" w:eastAsia="仿宋" w:cs="仿宋"/>
          <w:color w:val="auto"/>
          <w:sz w:val="32"/>
          <w:szCs w:val="32"/>
          <w:shd w:val="clear" w:color="auto" w:fill="FFFFFF"/>
          <w:lang w:val="en-US" w:eastAsia="zh-CN"/>
        </w:rPr>
        <w:t>0</w:t>
      </w:r>
      <w:r>
        <w:rPr>
          <w:rFonts w:hint="eastAsia" w:ascii="仿宋" w:hAnsi="仿宋" w:eastAsia="仿宋" w:cs="仿宋"/>
          <w:color w:val="auto"/>
          <w:sz w:val="32"/>
          <w:szCs w:val="32"/>
          <w:shd w:val="clear" w:color="auto" w:fill="FFFFFF"/>
        </w:rPr>
        <w:t>万元，无形资产</w:t>
      </w:r>
      <w:r>
        <w:rPr>
          <w:rFonts w:hint="eastAsia" w:ascii="仿宋" w:hAnsi="仿宋" w:eastAsia="仿宋" w:cs="仿宋"/>
          <w:color w:val="auto"/>
          <w:sz w:val="32"/>
          <w:szCs w:val="32"/>
          <w:shd w:val="clear" w:color="auto" w:fill="FFFFFF"/>
          <w:lang w:val="en-US" w:eastAsia="zh-CN"/>
        </w:rPr>
        <w:t>0.35</w:t>
      </w:r>
      <w:r>
        <w:rPr>
          <w:rFonts w:hint="eastAsia" w:ascii="仿宋" w:hAnsi="仿宋" w:eastAsia="仿宋" w:cs="仿宋"/>
          <w:color w:val="auto"/>
          <w:sz w:val="32"/>
          <w:szCs w:val="32"/>
          <w:shd w:val="clear" w:color="auto" w:fill="FFFFFF"/>
        </w:rPr>
        <w:t>万元</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固定资产当中，房屋构筑物</w:t>
      </w:r>
      <w:r>
        <w:rPr>
          <w:rFonts w:hint="eastAsia" w:ascii="仿宋" w:hAnsi="仿宋" w:eastAsia="仿宋" w:cs="仿宋"/>
          <w:color w:val="auto"/>
          <w:sz w:val="32"/>
          <w:szCs w:val="32"/>
          <w:shd w:val="clear" w:color="auto" w:fill="FFFFFF"/>
          <w:lang w:val="en-US" w:eastAsia="zh-CN"/>
        </w:rPr>
        <w:t>0</w:t>
      </w:r>
      <w:r>
        <w:rPr>
          <w:rFonts w:hint="eastAsia" w:ascii="仿宋" w:hAnsi="仿宋" w:eastAsia="仿宋" w:cs="仿宋"/>
          <w:color w:val="auto"/>
          <w:sz w:val="32"/>
          <w:szCs w:val="32"/>
          <w:shd w:val="clear" w:color="auto" w:fill="FFFFFF"/>
        </w:rPr>
        <w:t>万元，汽车</w:t>
      </w:r>
      <w:r>
        <w:rPr>
          <w:rFonts w:hint="eastAsia" w:ascii="仿宋" w:hAnsi="仿宋" w:eastAsia="仿宋" w:cs="仿宋"/>
          <w:color w:val="auto"/>
          <w:sz w:val="32"/>
          <w:szCs w:val="32"/>
          <w:shd w:val="clear" w:color="auto" w:fill="FFFFFF"/>
          <w:lang w:val="en-US" w:eastAsia="zh-CN"/>
        </w:rPr>
        <w:t>2</w:t>
      </w:r>
      <w:r>
        <w:rPr>
          <w:rFonts w:hint="eastAsia" w:ascii="仿宋" w:hAnsi="仿宋" w:eastAsia="仿宋" w:cs="仿宋"/>
          <w:color w:val="auto"/>
          <w:sz w:val="32"/>
          <w:szCs w:val="32"/>
          <w:shd w:val="clear" w:color="auto" w:fill="FFFFFF"/>
        </w:rPr>
        <w:t>辆</w:t>
      </w:r>
      <w:r>
        <w:rPr>
          <w:rFonts w:hint="eastAsia" w:ascii="仿宋" w:hAnsi="仿宋" w:eastAsia="仿宋" w:cs="仿宋"/>
          <w:color w:val="auto"/>
          <w:sz w:val="32"/>
          <w:szCs w:val="32"/>
          <w:shd w:val="clear" w:color="auto" w:fill="FFFFFF"/>
          <w:lang w:val="en-US" w:eastAsia="zh-CN"/>
        </w:rPr>
        <w:t>38.85</w:t>
      </w:r>
      <w:r>
        <w:rPr>
          <w:rFonts w:hint="eastAsia" w:ascii="仿宋" w:hAnsi="仿宋" w:eastAsia="仿宋" w:cs="仿宋"/>
          <w:color w:val="auto"/>
          <w:sz w:val="32"/>
          <w:szCs w:val="32"/>
          <w:shd w:val="clear" w:color="auto" w:fill="FFFFFF"/>
        </w:rPr>
        <w:t>万元，单价200万元以上大型设备价值</w:t>
      </w:r>
      <w:r>
        <w:rPr>
          <w:rFonts w:hint="eastAsia" w:ascii="仿宋" w:hAnsi="仿宋" w:eastAsia="仿宋" w:cs="仿宋"/>
          <w:color w:val="auto"/>
          <w:sz w:val="32"/>
          <w:szCs w:val="32"/>
          <w:shd w:val="clear" w:color="auto" w:fill="FFFFFF"/>
          <w:lang w:val="en-US" w:eastAsia="zh-CN"/>
        </w:rPr>
        <w:t>0</w:t>
      </w:r>
      <w:r>
        <w:rPr>
          <w:rFonts w:hint="eastAsia" w:ascii="仿宋" w:hAnsi="仿宋" w:eastAsia="仿宋" w:cs="仿宋"/>
          <w:color w:val="auto"/>
          <w:sz w:val="32"/>
          <w:szCs w:val="32"/>
          <w:shd w:val="clear" w:color="auto" w:fill="FFFFFF"/>
        </w:rPr>
        <w:t>万元，其他固定资产</w:t>
      </w:r>
      <w:r>
        <w:rPr>
          <w:rFonts w:hint="eastAsia" w:ascii="仿宋" w:hAnsi="仿宋" w:eastAsia="仿宋" w:cs="仿宋"/>
          <w:color w:val="auto"/>
          <w:sz w:val="32"/>
          <w:szCs w:val="32"/>
          <w:shd w:val="clear" w:color="auto" w:fill="FFFFFF"/>
          <w:lang w:val="en-US" w:eastAsia="zh-CN"/>
        </w:rPr>
        <w:t>0</w:t>
      </w:r>
      <w:r>
        <w:rPr>
          <w:rFonts w:hint="eastAsia" w:ascii="仿宋" w:hAnsi="仿宋" w:eastAsia="仿宋" w:cs="仿宋"/>
          <w:color w:val="auto"/>
          <w:sz w:val="32"/>
          <w:szCs w:val="32"/>
          <w:shd w:val="clear" w:color="auto" w:fill="FFFFFF"/>
        </w:rPr>
        <w:t>万元。 </w:t>
      </w:r>
    </w:p>
    <w:p>
      <w:pPr>
        <w:ind w:firstLine="640" w:firstLineChars="200"/>
        <w:rPr>
          <w:rFonts w:hint="eastAsia" w:ascii="仿宋_GB2312" w:hAnsi="仿宋_GB2312" w:eastAsia="仿宋_GB2312" w:cs="仿宋_GB2312"/>
          <w:color w:val="auto"/>
          <w:sz w:val="32"/>
          <w:szCs w:val="32"/>
          <w:shd w:val="clear" w:color="auto" w:fill="FFFFFF"/>
        </w:rPr>
      </w:pPr>
      <w:r>
        <w:rPr>
          <w:rFonts w:hint="eastAsia" w:ascii="仿宋" w:hAnsi="仿宋" w:eastAsia="仿宋" w:cs="仿宋"/>
          <w:color w:val="auto"/>
          <w:sz w:val="32"/>
          <w:szCs w:val="32"/>
          <w:shd w:val="clear" w:color="auto" w:fill="FFFFFF"/>
        </w:rPr>
        <w:t>与上年相比，本年资产总额增加</w:t>
      </w:r>
      <w:r>
        <w:rPr>
          <w:rFonts w:hint="eastAsia" w:ascii="仿宋" w:hAnsi="仿宋" w:eastAsia="仿宋" w:cs="仿宋"/>
          <w:color w:val="auto"/>
          <w:sz w:val="32"/>
          <w:szCs w:val="32"/>
          <w:shd w:val="clear" w:color="auto" w:fill="FFFFFF"/>
          <w:lang w:val="en-US" w:eastAsia="zh-CN"/>
        </w:rPr>
        <w:t>45.37</w:t>
      </w:r>
      <w:r>
        <w:rPr>
          <w:rFonts w:hint="eastAsia" w:ascii="仿宋" w:hAnsi="仿宋" w:eastAsia="仿宋" w:cs="仿宋"/>
          <w:color w:val="auto"/>
          <w:sz w:val="32"/>
          <w:szCs w:val="32"/>
          <w:shd w:val="clear" w:color="auto" w:fill="FFFFFF"/>
        </w:rPr>
        <w:t>万元。</w:t>
      </w:r>
    </w:p>
    <w:p>
      <w:pPr>
        <w:ind w:firstLine="640" w:firstLineChars="200"/>
        <w:rPr>
          <w:rFonts w:hint="eastAsia" w:ascii="楷体" w:hAnsi="楷体" w:eastAsia="楷体" w:cstheme="minorEastAsia"/>
          <w:b w:val="0"/>
          <w:bCs/>
          <w:sz w:val="32"/>
          <w:szCs w:val="32"/>
          <w:lang w:val="en-US" w:eastAsia="zh-CN"/>
        </w:rPr>
      </w:pPr>
      <w:r>
        <w:rPr>
          <w:rFonts w:hint="eastAsia" w:ascii="楷体" w:hAnsi="楷体" w:eastAsia="楷体" w:cstheme="minorEastAsia"/>
          <w:b w:val="0"/>
          <w:bCs/>
          <w:sz w:val="32"/>
          <w:szCs w:val="32"/>
          <w:lang w:val="en-US" w:eastAsia="zh-CN"/>
        </w:rPr>
        <w:t>八、重点项目预算的绩效目标等预算绩效情况说明</w:t>
      </w:r>
    </w:p>
    <w:p>
      <w:pPr>
        <w:ind w:firstLine="640" w:firstLineChars="200"/>
        <w:rPr>
          <w:rFonts w:hint="eastAsia" w:ascii="仿宋" w:hAnsi="仿宋" w:eastAsia="仿宋" w:cs="仿宋"/>
          <w:sz w:val="32"/>
          <w:szCs w:val="32"/>
          <w:lang w:eastAsia="zh-CN"/>
        </w:rPr>
      </w:pPr>
      <w:r>
        <w:rPr>
          <w:rFonts w:hint="eastAsia" w:ascii="仿宋" w:hAnsi="仿宋" w:eastAsia="仿宋" w:cs="仿宋"/>
          <w:color w:val="auto"/>
          <w:sz w:val="32"/>
          <w:szCs w:val="32"/>
          <w:lang w:val="en-US" w:eastAsia="zh-CN"/>
        </w:rPr>
        <w:t>我单位本年度项目支出预算46.51万元，均为纪检监察工作日常业务经费，</w:t>
      </w:r>
      <w:r>
        <w:rPr>
          <w:rFonts w:hint="eastAsia" w:ascii="仿宋" w:hAnsi="仿宋" w:eastAsia="仿宋" w:cs="仿宋"/>
          <w:color w:val="auto"/>
          <w:sz w:val="32"/>
          <w:szCs w:val="32"/>
        </w:rPr>
        <w:t>本单位本年度无重点项目支出预算</w:t>
      </w:r>
      <w:r>
        <w:rPr>
          <w:rFonts w:hint="eastAsia" w:ascii="仿宋" w:hAnsi="仿宋" w:eastAsia="仿宋" w:cs="仿宋"/>
          <w:color w:val="auto"/>
          <w:sz w:val="32"/>
          <w:szCs w:val="32"/>
          <w:lang w:eastAsia="zh-CN"/>
        </w:rPr>
        <w:t>。</w:t>
      </w:r>
    </w:p>
    <w:p>
      <w:pPr>
        <w:ind w:firstLine="640" w:firstLineChars="200"/>
        <w:rPr>
          <w:rFonts w:hint="eastAsia" w:ascii="楷体" w:hAnsi="楷体" w:eastAsia="楷体" w:cstheme="minorEastAsia"/>
          <w:b w:val="0"/>
          <w:bCs/>
          <w:sz w:val="32"/>
          <w:szCs w:val="32"/>
          <w:lang w:eastAsia="zh-CN"/>
        </w:rPr>
      </w:pPr>
      <w:r>
        <w:rPr>
          <w:rFonts w:hint="eastAsia" w:ascii="楷体" w:hAnsi="楷体" w:eastAsia="楷体" w:cstheme="minorEastAsia"/>
          <w:b w:val="0"/>
          <w:bCs/>
          <w:sz w:val="32"/>
          <w:szCs w:val="32"/>
          <w:lang w:val="en-US" w:eastAsia="zh-CN"/>
        </w:rPr>
        <w:t>九、</w:t>
      </w:r>
      <w:r>
        <w:rPr>
          <w:rFonts w:hint="eastAsia" w:ascii="楷体" w:hAnsi="楷体" w:eastAsia="楷体" w:cstheme="minorEastAsia"/>
          <w:b w:val="0"/>
          <w:bCs/>
          <w:sz w:val="32"/>
          <w:szCs w:val="32"/>
        </w:rPr>
        <w:t>一般公共预算“三公”经费支出</w:t>
      </w:r>
      <w:r>
        <w:rPr>
          <w:rFonts w:hint="eastAsia" w:ascii="楷体" w:hAnsi="楷体" w:eastAsia="楷体" w:cstheme="minorEastAsia"/>
          <w:b w:val="0"/>
          <w:bCs/>
          <w:sz w:val="32"/>
          <w:szCs w:val="32"/>
          <w:lang w:eastAsia="zh-CN"/>
        </w:rPr>
        <w:t>增减变化原因等说明</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本部门20</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年度一般公共预算“三公”经费预算数为</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万元，较20</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增加</w:t>
      </w:r>
      <w:r>
        <w:rPr>
          <w:rFonts w:hint="eastAsia" w:ascii="仿宋" w:hAnsi="仿宋" w:eastAsia="仿宋" w:cs="仿宋"/>
          <w:color w:val="auto"/>
          <w:sz w:val="32"/>
          <w:szCs w:val="32"/>
          <w:lang w:val="en-US" w:eastAsia="zh-CN"/>
        </w:rPr>
        <w:t>0.7</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增长</w:t>
      </w:r>
      <w:r>
        <w:rPr>
          <w:rFonts w:hint="eastAsia" w:ascii="仿宋" w:hAnsi="仿宋" w:eastAsia="仿宋" w:cs="仿宋"/>
          <w:color w:val="auto"/>
          <w:sz w:val="32"/>
          <w:szCs w:val="32"/>
          <w:lang w:val="en-US" w:eastAsia="zh-CN"/>
        </w:rPr>
        <w:t>38.89</w:t>
      </w:r>
      <w:r>
        <w:rPr>
          <w:rFonts w:hint="eastAsia" w:ascii="仿宋" w:hAnsi="仿宋" w:eastAsia="仿宋" w:cs="仿宋"/>
          <w:color w:val="auto"/>
          <w:sz w:val="32"/>
          <w:szCs w:val="32"/>
        </w:rPr>
        <w:t>%，其中：</w:t>
      </w:r>
    </w:p>
    <w:p>
      <w:pPr>
        <w:numPr>
          <w:ilvl w:val="0"/>
          <w:numId w:val="1"/>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因公出国（境）支出年初预算数为0万元，</w:t>
      </w:r>
      <w:r>
        <w:rPr>
          <w:rFonts w:hint="eastAsia" w:ascii="仿宋" w:hAnsi="仿宋" w:eastAsia="仿宋" w:cs="仿宋"/>
          <w:color w:val="auto"/>
          <w:sz w:val="32"/>
          <w:szCs w:val="32"/>
          <w:lang w:eastAsia="zh-CN"/>
        </w:rPr>
        <w:t>因公出国（境）团组数为</w:t>
      </w:r>
      <w:r>
        <w:rPr>
          <w:rFonts w:hint="eastAsia" w:ascii="仿宋" w:hAnsi="仿宋" w:eastAsia="仿宋" w:cs="仿宋"/>
          <w:color w:val="auto"/>
          <w:sz w:val="32"/>
          <w:szCs w:val="32"/>
          <w:lang w:val="en-US" w:eastAsia="zh-CN"/>
        </w:rPr>
        <w:t>0，人数为0。</w:t>
      </w:r>
      <w:r>
        <w:rPr>
          <w:rFonts w:hint="eastAsia" w:ascii="仿宋" w:hAnsi="仿宋" w:eastAsia="仿宋" w:cs="仿宋"/>
          <w:color w:val="auto"/>
          <w:sz w:val="32"/>
          <w:szCs w:val="32"/>
        </w:rPr>
        <w:t>较201</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年增加（减少）0万元，增长（下降）0%。</w:t>
      </w:r>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　　（二）公务接待费支出年初预算数为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万元，较201</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年减少</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万元，下降</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%。主要原因是：专项活动减少。</w:t>
      </w:r>
      <w:r>
        <w:rPr>
          <w:rFonts w:hint="eastAsia" w:ascii="仿宋" w:hAnsi="仿宋" w:eastAsia="仿宋" w:cs="仿宋"/>
          <w:color w:val="auto"/>
          <w:sz w:val="32"/>
          <w:szCs w:val="32"/>
          <w:lang w:eastAsia="zh-CN"/>
        </w:rPr>
        <w:t>本年度国内公务接待共</w:t>
      </w:r>
      <w:r>
        <w:rPr>
          <w:rFonts w:hint="eastAsia" w:ascii="仿宋" w:hAnsi="仿宋" w:eastAsia="仿宋" w:cs="仿宋"/>
          <w:color w:val="auto"/>
          <w:sz w:val="32"/>
          <w:szCs w:val="32"/>
          <w:lang w:val="en-US" w:eastAsia="zh-CN"/>
        </w:rPr>
        <w:t>0批次，共0人。</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（三）公务用车购置及运行维护费支出0万元，其中公务用车购置年初预算数为0万元，较201</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年增加（减少）0万元，增长（下降）0%；公务用车运行维护费支出年初预算数为</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万元，较201</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年增加（减少）</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万元，增长（下降）</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0%。</w:t>
      </w:r>
      <w:r>
        <w:rPr>
          <w:rFonts w:hint="eastAsia" w:ascii="仿宋" w:hAnsi="仿宋" w:eastAsia="仿宋" w:cs="仿宋"/>
          <w:color w:val="auto"/>
          <w:sz w:val="32"/>
          <w:szCs w:val="32"/>
          <w:lang w:eastAsia="zh-CN"/>
        </w:rPr>
        <w:t>本年度公务用车购置数</w:t>
      </w:r>
      <w:r>
        <w:rPr>
          <w:rFonts w:hint="eastAsia" w:ascii="仿宋" w:hAnsi="仿宋" w:eastAsia="仿宋" w:cs="仿宋"/>
          <w:color w:val="auto"/>
          <w:sz w:val="32"/>
          <w:szCs w:val="32"/>
          <w:lang w:val="en-US" w:eastAsia="zh-CN"/>
        </w:rPr>
        <w:t>0辆，公务用车保有量9辆。均为执纪监督车辆。</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十、政府性基金预算支出预算情况说明</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（反映部门年度政府性基金支出预算安排情况。政府性基金支出安排数应与《部门收支预算总表》的政府性基金收入数一致，并按照政府收支分类科目的功能分类“项”级细化列示。）</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中国共产党襄垣县纪律检查委员会</w:t>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年政府性基金支出预算</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（或者：本单位本年度无此项预算，故无此项说明）</w:t>
      </w:r>
    </w:p>
    <w:p>
      <w:pPr>
        <w:ind w:firstLine="640" w:firstLineChars="200"/>
        <w:rPr>
          <w:rFonts w:asciiTheme="minorEastAsia" w:hAnsiTheme="minorEastAsia" w:cstheme="minorEastAsia"/>
          <w:sz w:val="32"/>
          <w:szCs w:val="32"/>
        </w:rPr>
      </w:pPr>
    </w:p>
    <w:p>
      <w:pPr>
        <w:ind w:firstLine="640" w:firstLineChars="200"/>
        <w:rPr>
          <w:rFonts w:asciiTheme="minorEastAsia" w:hAnsiTheme="minorEastAsia" w:cstheme="minorEastAsia"/>
          <w:sz w:val="32"/>
          <w:szCs w:val="32"/>
        </w:rPr>
      </w:pPr>
    </w:p>
    <w:p>
      <w:pPr>
        <w:ind w:firstLine="640" w:firstLineChars="200"/>
        <w:rPr>
          <w:rFonts w:asciiTheme="minorEastAsia" w:hAnsiTheme="minorEastAsia" w:cstheme="minorEastAsia"/>
          <w:sz w:val="32"/>
          <w:szCs w:val="32"/>
        </w:rPr>
      </w:pPr>
    </w:p>
    <w:p>
      <w:pPr>
        <w:ind w:firstLine="640" w:firstLineChars="200"/>
        <w:rPr>
          <w:rFonts w:asciiTheme="minorEastAsia" w:hAnsiTheme="minorEastAsia" w:cstheme="minorEastAsia"/>
          <w:sz w:val="32"/>
          <w:szCs w:val="32"/>
        </w:rPr>
      </w:pP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67C84"/>
    <w:multiLevelType w:val="singleLevel"/>
    <w:tmpl w:val="FF867C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mNjFmNjY0YTJjMzVjZWVkMmFlMTUxMDA0OTA4MTAifQ=="/>
  </w:docVars>
  <w:rsids>
    <w:rsidRoot w:val="48E87EB6"/>
    <w:rsid w:val="0001019D"/>
    <w:rsid w:val="0011026C"/>
    <w:rsid w:val="00121209"/>
    <w:rsid w:val="001330DE"/>
    <w:rsid w:val="001C0185"/>
    <w:rsid w:val="002A78F3"/>
    <w:rsid w:val="002B74C9"/>
    <w:rsid w:val="003343CB"/>
    <w:rsid w:val="00356142"/>
    <w:rsid w:val="00481790"/>
    <w:rsid w:val="005F2480"/>
    <w:rsid w:val="00643BE9"/>
    <w:rsid w:val="00696E76"/>
    <w:rsid w:val="00751A1A"/>
    <w:rsid w:val="00760ADC"/>
    <w:rsid w:val="007634B0"/>
    <w:rsid w:val="00835152"/>
    <w:rsid w:val="008524E1"/>
    <w:rsid w:val="008934C9"/>
    <w:rsid w:val="008C542A"/>
    <w:rsid w:val="008D5CA9"/>
    <w:rsid w:val="009436C0"/>
    <w:rsid w:val="009B6471"/>
    <w:rsid w:val="00A61D97"/>
    <w:rsid w:val="00B84099"/>
    <w:rsid w:val="00BD7E57"/>
    <w:rsid w:val="00C91007"/>
    <w:rsid w:val="00CC30DB"/>
    <w:rsid w:val="00CF14FA"/>
    <w:rsid w:val="00D25442"/>
    <w:rsid w:val="00E74F60"/>
    <w:rsid w:val="014A06B6"/>
    <w:rsid w:val="01742A72"/>
    <w:rsid w:val="01DA336E"/>
    <w:rsid w:val="0458392D"/>
    <w:rsid w:val="05E42E29"/>
    <w:rsid w:val="061E09E3"/>
    <w:rsid w:val="06A43BA7"/>
    <w:rsid w:val="087A6196"/>
    <w:rsid w:val="0C5A5250"/>
    <w:rsid w:val="0C64513E"/>
    <w:rsid w:val="0D5D55D6"/>
    <w:rsid w:val="0DBA1BB8"/>
    <w:rsid w:val="0DE649EC"/>
    <w:rsid w:val="0EE25EB1"/>
    <w:rsid w:val="0F1A1250"/>
    <w:rsid w:val="0F964FBA"/>
    <w:rsid w:val="10CB3E8D"/>
    <w:rsid w:val="11465495"/>
    <w:rsid w:val="11F35FF2"/>
    <w:rsid w:val="133A2E45"/>
    <w:rsid w:val="15900FB0"/>
    <w:rsid w:val="179A58B8"/>
    <w:rsid w:val="1B4A6025"/>
    <w:rsid w:val="1B593D68"/>
    <w:rsid w:val="1CE6602F"/>
    <w:rsid w:val="1DF453AF"/>
    <w:rsid w:val="1E107510"/>
    <w:rsid w:val="1E643EFE"/>
    <w:rsid w:val="1F367F38"/>
    <w:rsid w:val="209E0EC3"/>
    <w:rsid w:val="21886AEE"/>
    <w:rsid w:val="22140CC1"/>
    <w:rsid w:val="23AB3B2F"/>
    <w:rsid w:val="23DF631D"/>
    <w:rsid w:val="24D63713"/>
    <w:rsid w:val="27495191"/>
    <w:rsid w:val="27550C22"/>
    <w:rsid w:val="27B01B3D"/>
    <w:rsid w:val="27ED1C1F"/>
    <w:rsid w:val="285E6FE0"/>
    <w:rsid w:val="2A0C1A12"/>
    <w:rsid w:val="2A0C4488"/>
    <w:rsid w:val="2A7D3ADC"/>
    <w:rsid w:val="2A937DAC"/>
    <w:rsid w:val="2DB60033"/>
    <w:rsid w:val="2F754CA8"/>
    <w:rsid w:val="2FB928F6"/>
    <w:rsid w:val="31395A64"/>
    <w:rsid w:val="3287543D"/>
    <w:rsid w:val="33C53FEF"/>
    <w:rsid w:val="341824CB"/>
    <w:rsid w:val="343F3937"/>
    <w:rsid w:val="34D53928"/>
    <w:rsid w:val="36870474"/>
    <w:rsid w:val="37015ED3"/>
    <w:rsid w:val="375574B7"/>
    <w:rsid w:val="38B2338E"/>
    <w:rsid w:val="39E01B38"/>
    <w:rsid w:val="3E980D8A"/>
    <w:rsid w:val="3F5C42DA"/>
    <w:rsid w:val="3F961124"/>
    <w:rsid w:val="40902903"/>
    <w:rsid w:val="40DD5AA3"/>
    <w:rsid w:val="42BB71D3"/>
    <w:rsid w:val="43E475B8"/>
    <w:rsid w:val="43FF1A7F"/>
    <w:rsid w:val="458B37F5"/>
    <w:rsid w:val="467D2DBE"/>
    <w:rsid w:val="48832669"/>
    <w:rsid w:val="48E87EB6"/>
    <w:rsid w:val="49812161"/>
    <w:rsid w:val="4A4F3891"/>
    <w:rsid w:val="4AFA4BB2"/>
    <w:rsid w:val="4B9126BF"/>
    <w:rsid w:val="4D9B3CEE"/>
    <w:rsid w:val="4EBA5260"/>
    <w:rsid w:val="50E2382D"/>
    <w:rsid w:val="51394E2C"/>
    <w:rsid w:val="517747EF"/>
    <w:rsid w:val="522F50B0"/>
    <w:rsid w:val="52567629"/>
    <w:rsid w:val="527A2150"/>
    <w:rsid w:val="544266DD"/>
    <w:rsid w:val="54F212BB"/>
    <w:rsid w:val="57C25D98"/>
    <w:rsid w:val="582B68F4"/>
    <w:rsid w:val="5B5968C3"/>
    <w:rsid w:val="5D083F24"/>
    <w:rsid w:val="5D306324"/>
    <w:rsid w:val="5E0B45F3"/>
    <w:rsid w:val="60860A87"/>
    <w:rsid w:val="60B46440"/>
    <w:rsid w:val="616D31FA"/>
    <w:rsid w:val="61C6166E"/>
    <w:rsid w:val="631D3AA0"/>
    <w:rsid w:val="635C762A"/>
    <w:rsid w:val="65A4738D"/>
    <w:rsid w:val="670D3BA8"/>
    <w:rsid w:val="670E7B10"/>
    <w:rsid w:val="686567A2"/>
    <w:rsid w:val="6C817A86"/>
    <w:rsid w:val="6EBE0947"/>
    <w:rsid w:val="6FD93AE0"/>
    <w:rsid w:val="71715484"/>
    <w:rsid w:val="71826B4B"/>
    <w:rsid w:val="71FC58C7"/>
    <w:rsid w:val="7249546B"/>
    <w:rsid w:val="729F0AAD"/>
    <w:rsid w:val="73433DAA"/>
    <w:rsid w:val="75F45C0F"/>
    <w:rsid w:val="766F632C"/>
    <w:rsid w:val="778E0CFB"/>
    <w:rsid w:val="790710A0"/>
    <w:rsid w:val="7C7014AB"/>
    <w:rsid w:val="7CFC1AD2"/>
    <w:rsid w:val="7DAE0EFC"/>
    <w:rsid w:val="FFFF1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579</Words>
  <Characters>3306</Characters>
  <Lines>27</Lines>
  <Paragraphs>7</Paragraphs>
  <TotalTime>2</TotalTime>
  <ScaleCrop>false</ScaleCrop>
  <LinksUpToDate>false</LinksUpToDate>
  <CharactersWithSpaces>3878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2021-05-21T10:08:00Z</dcterms:created>
  <dc:creator>亚亚</dc:creator>
  <cp:lastModifiedBy>企业用户_282967631</cp:lastModifiedBy>
  <cp:lastPrinted>2019-09-11T14:01:00Z</cp:lastPrinted>
  <dcterms:modified xsi:type="dcterms:W3CDTF">2025-09-08T02:30:30Z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A3F36A350F314E9186B2DFEFC2E8C00B_13</vt:lpwstr>
  </property>
</Properties>
</file>