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lang w:eastAsia="zh-CN"/>
        </w:rPr>
      </w:pPr>
      <w:r>
        <w:rPr>
          <w:rFonts w:hint="eastAsia" w:ascii="黑体" w:hAnsi="黑体" w:eastAsia="黑体" w:cstheme="minorEastAsia"/>
          <w:sz w:val="44"/>
          <w:szCs w:val="44"/>
          <w:lang w:eastAsia="zh-CN"/>
        </w:rPr>
        <w:t>中共襄垣县委机构编制委员会办公室</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21</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2"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中共襄垣县委机构编制委员会办公室（以下简称县委编办）作为中共襄垣县委机构编制委员会的办事机构，承担中共襄垣县委机构编制委员会日常工作，为县委工作机关，正科级，归口县委组织部管理。下属有事业单位登记事务中心参公事业单位和电子政务中心全额事业单位（均不独立核算），经费来源为全额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贯彻执行党中央、国务院和省委、省政府，市委、市政府以及省市机构编制部门有关行政管理体制和机构改革以及机构编制管理的政策、法规；研究拟定全县行政管理体制和机构改革以及机构编制管理的意见、规定和实施细则。强化党对机构编制和机构改革工作的集中统一领导，承办党政群机构职能编制工作，根据优化、协同、高效要求，审核部门“三定”规定，推动部门深化职能转变。加强事业单位登记管理工作，推动事业单位进一步强化公益属性。</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负责全县各级党政机关、人大、政协、法院、检察院机关，人民团体机关及县乡事业单位的机构编制管理工作。</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研究拟定全县行政管理体制与机构改革的总体方案，拟定县机构改革方案及实施意见，审核乡镇机构改革方案。</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审核各乡镇、县委各部门、县政府各部门的职能配置、内设机构、人员编制和领导职数的方案；协调县委各部门之间、县政府各部门之间的职责分工，科学配置各部门的职能。</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负责全县事业单位登记、管理和年检工作。</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负责对全县各级机关、事业单位机构编制及机构改革方案的执行情况进行监督检查，并报告县编委及县委、县政府。</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承担县委、县政府和县编委交办的其他事项。</w:t>
      </w:r>
    </w:p>
    <w:p>
      <w:pPr>
        <w:ind w:firstLine="642"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 xml:space="preserve">襄垣县财政局机关内设3个职能股室，职能股室分别为： </w:t>
      </w:r>
      <w:r>
        <w:rPr>
          <w:rFonts w:hint="eastAsia" w:ascii="仿宋_GB2312" w:eastAsia="仿宋_GB2312" w:hAnsiTheme="minorEastAsia" w:cstheme="minorEastAsia"/>
          <w:sz w:val="32"/>
          <w:szCs w:val="32"/>
        </w:rPr>
        <w:t>综合办公室</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业务股</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事业单位登记管理股</w:t>
      </w:r>
      <w:r>
        <w:rPr>
          <w:rFonts w:hint="eastAsia" w:ascii="仿宋_GB2312" w:eastAsia="仿宋_GB2312" w:hAnsiTheme="minorEastAsia" w:cstheme="minorEastAsia"/>
          <w:sz w:val="32"/>
          <w:szCs w:val="32"/>
          <w:lang w:val="en-US" w:eastAsia="zh-CN"/>
        </w:rPr>
        <w:t xml:space="preserve">。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val="en-US" w:eastAsia="zh-CN"/>
        </w:rPr>
        <w:t>1、</w:t>
      </w:r>
      <w:r>
        <w:rPr>
          <w:rFonts w:hint="eastAsia" w:ascii="仿宋_GB2312" w:eastAsia="仿宋_GB2312" w:hAnsiTheme="minorEastAsia" w:cstheme="minorEastAsia"/>
          <w:sz w:val="32"/>
          <w:szCs w:val="32"/>
        </w:rPr>
        <w:t>综合科更名为综合办公室，设定编制1名。</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综合协调、督促检查机关日常行政事务工作和行政后勤管理工作；具体负责机关会务、文秘、档案、信息、印鉴、接待、保密、安全、信访、人事、财务、资产管理等工作，建立健全机关各项规章制度，组织拟定全县机构编制管理的规定；负责全县机关、事业单位全国统一的代码标识分配、颁码工作；建立机构编制管理与财政预算管理相互配套协调的约束机制和监督制度；负责并监督县级机关、事业单位、乡镇机关、事业单位人员结构管理和审核新增人员编制使用情况；监督检查全县各级机关、事业单位机构编制工作的政策和法律、法规、规章的贯彻执行情况；负责县乡机关、事业单位进人上编手续的办理工作；负责县级党政群各部门行政编制的具体分配意见；负责财政统一发放工资编制与实有人数的审核工作；负责《机构编制管理证》的审核、鉴发和管理。</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val="en-US" w:eastAsia="zh-CN"/>
        </w:rPr>
        <w:t>2、</w:t>
      </w:r>
      <w:r>
        <w:rPr>
          <w:rFonts w:hint="eastAsia" w:ascii="仿宋_GB2312" w:eastAsia="仿宋_GB2312" w:hAnsiTheme="minorEastAsia" w:cstheme="minorEastAsia"/>
          <w:sz w:val="32"/>
          <w:szCs w:val="32"/>
        </w:rPr>
        <w:t>机构科更名为业务股，设定编制2名，增加推行政府部门权责清单制度的职责。负责起草县级党政群机关行政管理体制改革和机构改革方案；审核县级党政群各部门、各乡镇的职能配置、内设机构、人员编制和领导职数；研究县级党政群各部门的职责分工与职能调整；审核有关非常设办事机构的设置；负责事业单位机构改革方案实施工作，职能界定，呈报审核科级事业单位的机构设置；审批股级事业单位的机构设置；负责全县事业单位登记管理工作。</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3、</w:t>
      </w:r>
      <w:r>
        <w:rPr>
          <w:rFonts w:hint="eastAsia" w:ascii="仿宋_GB2312" w:eastAsia="仿宋_GB2312" w:hAnsiTheme="minorEastAsia" w:cstheme="minorEastAsia"/>
          <w:sz w:val="32"/>
          <w:szCs w:val="32"/>
        </w:rPr>
        <w:t>设置事业单位登记管理股，设定编制1名，主要职责：指导和监督检查全县事业单位登记管理工作，拟订我县事业单位登记管理工作规则和工作制度。负责县本级事业单位登记管理工作。负责县级机关和县委编办直接管理机构编制的群众团体统一社会信用代码</w:t>
      </w:r>
      <w:bookmarkStart w:id="0" w:name="_GoBack"/>
      <w:bookmarkEnd w:id="0"/>
      <w:r>
        <w:rPr>
          <w:rFonts w:hint="eastAsia" w:ascii="仿宋_GB2312" w:eastAsia="仿宋_GB2312" w:hAnsiTheme="minorEastAsia" w:cstheme="minorEastAsia"/>
          <w:sz w:val="32"/>
          <w:szCs w:val="32"/>
        </w:rPr>
        <w:t>赋码和证书发放工作。</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val="en-US" w:eastAsia="zh-CN"/>
        </w:rPr>
        <w:t>现有行政、事业编制17名，其中，行政编制7名，事业编制10名。实有14人，其中公务员6名，行政工勤1人，事业人员6名，其他1人。</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中共襄垣县委机构编制委员会办公室2021年度收入、支出预算总计129.69万元，与上年相比收、支预算总计各减少12.52万元，减少8.80%。主要原因是本年未录入退休人员工资和第一书记保障经费等原因。其中：</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（一）收入预算总计129.69万元。包括：</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1．财政拨款收入预算总计129.69元。</w:t>
      </w:r>
    </w:p>
    <w:p>
      <w:pPr>
        <w:ind w:firstLine="640" w:firstLineChars="200"/>
        <w:rPr>
          <w:rFonts w:hint="default"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（1）一般公共预算收入预算129.69万元，与上年相比减少12.52万元，减少8.80%。主要原因是本年未录入退休人员工资等原因。</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（2）政府性基金收入预算0万元，与上年无变化。</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2．财政专户管理资金收入预算总计0万元。与上年无变化。</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3．其他资金收入预算总计0万元。与上年无变化。</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4．上年结转资金预算数为0万元。与上年无变化。</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（二）支出预算总计129.69万元。包括：</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1．一般公共服务（类）支出99.89万元，主要用于</w:t>
      </w:r>
      <w:r>
        <w:rPr>
          <w:rFonts w:hint="eastAsia" w:ascii="仿宋_GB2312" w:hAnsi="仿宋_GB2312" w:eastAsia="仿宋_GB2312" w:cs="仿宋_GB2312"/>
          <w:sz w:val="32"/>
          <w:szCs w:val="32"/>
          <w:shd w:val="clear" w:color="auto" w:fill="FFFFFF"/>
          <w:lang w:val="en-US" w:eastAsia="zh-CN"/>
        </w:rPr>
        <w:t>行政事业运行及机关事务支出</w:t>
      </w:r>
      <w:r>
        <w:rPr>
          <w:rFonts w:hint="eastAsia" w:ascii="仿宋_GB2312" w:eastAsia="仿宋_GB2312" w:hAnsiTheme="minorEastAsia" w:cstheme="minorEastAsia"/>
          <w:sz w:val="32"/>
          <w:szCs w:val="32"/>
          <w:lang w:val="en-US" w:eastAsia="zh-CN"/>
        </w:rPr>
        <w:t>。与上年相比增加6.15万元，增加6.56%。主要原因是增加事业人员霍奋平。</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2．公共安全（类）支出0万元。与上年相比无差异。</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3．结转下年资金预算数为0万元，与上年相比无差异。</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此外，基本支出预算数为129.69万元。与上年相比减少12.52万元，减少8.80%。主要原因是未录入退休人员工资和减少农村第一书记保障经费等原因。</w:t>
      </w:r>
    </w:p>
    <w:p>
      <w:pPr>
        <w:ind w:firstLine="645"/>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项目支出预算数为0万元。</w:t>
      </w:r>
      <w:r>
        <w:rPr>
          <w:rFonts w:hint="eastAsia" w:ascii="仿宋_GB2312" w:hAnsi="仿宋_GB2312" w:eastAsia="仿宋_GB2312" w:cs="仿宋_GB2312"/>
          <w:sz w:val="32"/>
          <w:szCs w:val="32"/>
          <w:shd w:val="clear" w:color="auto" w:fill="FFFFFF"/>
          <w:lang w:val="en-US" w:eastAsia="zh-CN"/>
        </w:rPr>
        <w:t>与上年相比减少0.58 万元，减少100%。主要原因是减少农村第一书记保障经费。</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单位预留机动经费预算数为 0万元。与上年相比无变化。</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四</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机关运行经费安排情况说明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本单位</w:t>
      </w:r>
      <w:r>
        <w:rPr>
          <w:rFonts w:hint="eastAsia" w:ascii="仿宋_GB2312" w:eastAsia="仿宋_GB2312" w:hAnsiTheme="minorEastAsia" w:cstheme="minorEastAsia"/>
          <w:sz w:val="32"/>
          <w:szCs w:val="32"/>
        </w:rPr>
        <w:t>机关运行经费</w:t>
      </w:r>
      <w:r>
        <w:rPr>
          <w:rFonts w:hint="eastAsia" w:ascii="仿宋_GB2312" w:eastAsia="仿宋_GB2312" w:hAnsiTheme="minorEastAsia" w:cstheme="minorEastAsia"/>
          <w:sz w:val="32"/>
          <w:szCs w:val="32"/>
          <w:lang w:eastAsia="zh-CN"/>
        </w:rPr>
        <w:t>支出预算数为</w:t>
      </w:r>
      <w:r>
        <w:rPr>
          <w:rFonts w:hint="eastAsia" w:ascii="仿宋_GB2312" w:eastAsia="仿宋_GB2312" w:hAnsiTheme="minorEastAsia" w:cstheme="minorEastAsia"/>
          <w:sz w:val="32"/>
          <w:szCs w:val="32"/>
          <w:lang w:val="en-US" w:eastAsia="zh-CN"/>
        </w:rPr>
        <w:t>5.04万元，较2020年增加0.36万元，其中：</w:t>
      </w:r>
      <w:r>
        <w:rPr>
          <w:rFonts w:hint="eastAsia" w:ascii="仿宋_GB2312" w:eastAsia="仿宋_GB2312" w:hAnsiTheme="minorEastAsia" w:cstheme="minorEastAsia"/>
          <w:sz w:val="32"/>
          <w:szCs w:val="32"/>
        </w:rPr>
        <w:t>办公费</w:t>
      </w:r>
      <w:r>
        <w:rPr>
          <w:rFonts w:hint="eastAsia" w:ascii="仿宋_GB2312" w:eastAsia="仿宋_GB2312" w:hAnsiTheme="minorEastAsia" w:cstheme="minorEastAsia"/>
          <w:sz w:val="32"/>
          <w:szCs w:val="32"/>
          <w:lang w:eastAsia="zh-CN"/>
        </w:rPr>
        <w:t>支出</w:t>
      </w:r>
      <w:r>
        <w:rPr>
          <w:rFonts w:hint="eastAsia" w:ascii="仿宋_GB2312" w:eastAsia="仿宋_GB2312" w:hAnsiTheme="minorEastAsia" w:cstheme="minorEastAsia"/>
          <w:sz w:val="32"/>
          <w:szCs w:val="32"/>
          <w:lang w:val="en-US" w:eastAsia="zh-CN"/>
        </w:rPr>
        <w:t>1.3万元</w:t>
      </w:r>
      <w:r>
        <w:rPr>
          <w:rFonts w:hint="eastAsia" w:ascii="仿宋_GB2312" w:eastAsia="仿宋_GB2312" w:hAnsiTheme="minorEastAsia" w:cstheme="minorEastAsia"/>
          <w:sz w:val="32"/>
          <w:szCs w:val="32"/>
        </w:rPr>
        <w:t>、印刷费</w:t>
      </w:r>
      <w:r>
        <w:rPr>
          <w:rFonts w:hint="eastAsia" w:ascii="仿宋_GB2312" w:eastAsia="仿宋_GB2312" w:hAnsiTheme="minorEastAsia" w:cstheme="minorEastAsia"/>
          <w:sz w:val="32"/>
          <w:szCs w:val="32"/>
          <w:lang w:eastAsia="zh-CN"/>
        </w:rPr>
        <w:t>支出</w:t>
      </w:r>
      <w:r>
        <w:rPr>
          <w:rFonts w:hint="eastAsia" w:ascii="仿宋_GB2312" w:eastAsia="仿宋_GB2312" w:hAnsiTheme="minorEastAsia" w:cstheme="minorEastAsia"/>
          <w:sz w:val="32"/>
          <w:szCs w:val="32"/>
          <w:lang w:val="en-US" w:eastAsia="zh-CN"/>
        </w:rPr>
        <w:t>0.5万元</w:t>
      </w:r>
      <w:r>
        <w:rPr>
          <w:rFonts w:hint="eastAsia" w:ascii="仿宋_GB2312" w:eastAsia="仿宋_GB2312" w:hAnsiTheme="minorEastAsia" w:cstheme="minorEastAsia"/>
          <w:sz w:val="32"/>
          <w:szCs w:val="32"/>
        </w:rPr>
        <w:t>、差旅费</w:t>
      </w:r>
      <w:r>
        <w:rPr>
          <w:rFonts w:hint="eastAsia" w:ascii="仿宋_GB2312" w:eastAsia="仿宋_GB2312" w:hAnsiTheme="minorEastAsia" w:cstheme="minorEastAsia"/>
          <w:sz w:val="32"/>
          <w:szCs w:val="32"/>
          <w:lang w:eastAsia="zh-CN"/>
        </w:rPr>
        <w:t>支出</w:t>
      </w:r>
      <w:r>
        <w:rPr>
          <w:rFonts w:hint="eastAsia" w:ascii="仿宋_GB2312" w:eastAsia="仿宋_GB2312" w:hAnsiTheme="minorEastAsia" w:cstheme="minorEastAsia"/>
          <w:sz w:val="32"/>
          <w:szCs w:val="32"/>
          <w:lang w:val="en-US" w:eastAsia="zh-CN"/>
        </w:rPr>
        <w:t>0.5万元</w:t>
      </w:r>
      <w:r>
        <w:rPr>
          <w:rFonts w:hint="eastAsia" w:ascii="仿宋_GB2312" w:eastAsia="仿宋_GB2312" w:hAnsiTheme="minorEastAsia" w:cstheme="minorEastAsia"/>
          <w:sz w:val="32"/>
          <w:szCs w:val="32"/>
        </w:rPr>
        <w:t>等。</w:t>
      </w:r>
      <w:r>
        <w:rPr>
          <w:rFonts w:hint="eastAsia" w:ascii="仿宋_GB2312" w:eastAsia="仿宋_GB2312" w:hAnsiTheme="minorEastAsia" w:cstheme="minorEastAsia"/>
          <w:sz w:val="32"/>
          <w:szCs w:val="32"/>
          <w:lang w:eastAsia="zh-CN"/>
        </w:rPr>
        <w:t>主要增减变化情况：调入事业人员霍奋平，增加办公经费</w:t>
      </w:r>
      <w:r>
        <w:rPr>
          <w:rFonts w:hint="eastAsia" w:ascii="仿宋_GB2312" w:eastAsia="仿宋_GB2312" w:hAnsiTheme="minorEastAsia" w:cstheme="minorEastAsia"/>
          <w:sz w:val="32"/>
          <w:szCs w:val="32"/>
        </w:rPr>
        <w:t>。</w:t>
      </w:r>
    </w:p>
    <w:p>
      <w:pPr>
        <w:ind w:firstLine="640" w:firstLineChars="200"/>
        <w:rPr>
          <w:rFonts w:hint="eastAsia" w:ascii="楷体" w:hAnsi="楷体" w:eastAsia="楷体" w:cstheme="minorEastAsia"/>
          <w:b w:val="0"/>
          <w:bCs/>
          <w:sz w:val="32"/>
          <w:szCs w:val="32"/>
        </w:rPr>
      </w:pPr>
      <w:r>
        <w:rPr>
          <w:rFonts w:hint="eastAsia" w:ascii="仿宋_GB2312" w:eastAsia="仿宋_GB2312" w:hAnsiTheme="minorEastAsia" w:cstheme="minorEastAsia"/>
          <w:color w:val="auto"/>
          <w:sz w:val="32"/>
          <w:szCs w:val="32"/>
          <w:lang w:eastAsia="zh-CN"/>
        </w:rPr>
        <w:t>五、</w:t>
      </w:r>
      <w:r>
        <w:rPr>
          <w:rFonts w:hint="eastAsia" w:ascii="楷体" w:hAnsi="楷体" w:eastAsia="楷体" w:cstheme="minorEastAsia"/>
          <w:b w:val="0"/>
          <w:bCs/>
          <w:sz w:val="32"/>
          <w:szCs w:val="32"/>
        </w:rPr>
        <w:t>政府采购</w:t>
      </w:r>
      <w:r>
        <w:rPr>
          <w:rFonts w:hint="eastAsia" w:ascii="楷体" w:hAnsi="楷体" w:eastAsia="楷体" w:cstheme="minorEastAsia"/>
          <w:b w:val="0"/>
          <w:bCs/>
          <w:sz w:val="32"/>
          <w:szCs w:val="32"/>
          <w:lang w:eastAsia="zh-CN"/>
        </w:rPr>
        <w:t>安排</w:t>
      </w:r>
      <w:r>
        <w:rPr>
          <w:rFonts w:hint="eastAsia" w:ascii="楷体" w:hAnsi="楷体" w:eastAsia="楷体" w:cstheme="minorEastAsia"/>
          <w:b w:val="0"/>
          <w:bCs/>
          <w:sz w:val="32"/>
          <w:szCs w:val="32"/>
        </w:rPr>
        <w:t>情况说明</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w:t>
      </w:r>
      <w:r>
        <w:rPr>
          <w:rFonts w:hint="eastAsia" w:ascii="仿宋_GB2312" w:eastAsia="仿宋_GB2312" w:hAnsiTheme="minorEastAsia" w:cstheme="minorEastAsia"/>
          <w:sz w:val="32"/>
          <w:szCs w:val="32"/>
          <w:lang w:val="en-US" w:eastAsia="zh-CN"/>
        </w:rPr>
        <w:t>20</w:t>
      </w:r>
      <w:r>
        <w:rPr>
          <w:rFonts w:hint="eastAsia" w:ascii="仿宋_GB2312" w:eastAsia="仿宋_GB2312" w:hAnsiTheme="minorEastAsia" w:cstheme="minorEastAsia"/>
          <w:sz w:val="32"/>
          <w:szCs w:val="32"/>
        </w:rPr>
        <w:t>年度政府采购</w:t>
      </w:r>
      <w:r>
        <w:rPr>
          <w:rFonts w:hint="eastAsia" w:ascii="仿宋_GB2312" w:eastAsia="仿宋_GB2312" w:hAnsiTheme="minorEastAsia" w:cstheme="minorEastAsia"/>
          <w:sz w:val="32"/>
          <w:szCs w:val="32"/>
          <w:lang w:eastAsia="zh-CN"/>
        </w:rPr>
        <w:t>安排</w:t>
      </w:r>
      <w:r>
        <w:rPr>
          <w:rFonts w:hint="eastAsia" w:ascii="仿宋_GB2312" w:eastAsia="仿宋_GB2312" w:hAnsiTheme="minorEastAsia" w:cstheme="minorEastAsia"/>
          <w:sz w:val="32"/>
          <w:szCs w:val="32"/>
        </w:rPr>
        <w:t>0万元，其中：政府采购货物支出0万元、政府采购工程支出0万元、政府采购服务支出0万元。授予中小企业合同金额0万元，占政府采购支出总额的0%。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六</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对专业性较强的名词进行解释</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（一）</w:t>
      </w:r>
      <w:r>
        <w:rPr>
          <w:rFonts w:hint="eastAsia" w:ascii="仿宋_GB2312" w:eastAsia="仿宋_GB2312" w:hAnsiTheme="minorEastAsia" w:cstheme="minorEastAsia"/>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（二）</w:t>
      </w:r>
      <w:r>
        <w:rPr>
          <w:rFonts w:hint="eastAsia" w:ascii="仿宋_GB2312" w:eastAsia="仿宋_GB2312" w:hAnsiTheme="minorEastAsia" w:cstheme="minorEastAsia"/>
          <w:sz w:val="32"/>
          <w:szCs w:val="32"/>
        </w:rPr>
        <w:t>上级补助收入：指事业单位从主管部门和上级单位取得的非财政补助收入。</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（三）</w:t>
      </w:r>
      <w:r>
        <w:rPr>
          <w:rFonts w:hint="eastAsia" w:ascii="仿宋_GB2312" w:eastAsia="仿宋_GB2312" w:hAnsiTheme="minorEastAsia" w:cstheme="minorEastAsia"/>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（四）</w:t>
      </w:r>
      <w:r>
        <w:rPr>
          <w:rFonts w:hint="eastAsia" w:ascii="仿宋_GB2312" w:eastAsia="仿宋_GB2312" w:hAnsiTheme="minorEastAsia" w:cstheme="minorEastAsia"/>
          <w:sz w:val="32"/>
          <w:szCs w:val="32"/>
        </w:rPr>
        <w:t>经营收入：指事业单位在专业业务活动及其辅助活动之外开展非独立核算经营活动取得的收入。</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附属单位缴款：指事业单位附属独立核算单位按照有关规定上缴的收入。</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 xml:space="preserve">其他收入：指单位取得的除上述“财政拨款收入”、“事业收入”、“经营收入”、“附属单位缴款”等以外的各项收入。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sz w:val="32"/>
          <w:szCs w:val="32"/>
        </w:rPr>
        <w:t xml:space="preserve">用事业基金弥补收支差额：指事业单位用事业基金弥补当年收支差额的数额。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 xml:space="preserve">年初结转和结余：指单位上年结转本年使用的基本支出结转、项目支出结转和结余和经营结余。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（九）</w:t>
      </w:r>
      <w:r>
        <w:rPr>
          <w:rFonts w:hint="eastAsia" w:ascii="仿宋_GB2312" w:eastAsia="仿宋_GB2312" w:hAnsiTheme="minorEastAsia" w:cstheme="minorEastAsia"/>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（十）</w:t>
      </w:r>
      <w:r>
        <w:rPr>
          <w:rFonts w:hint="eastAsia" w:ascii="仿宋_GB2312" w:eastAsia="仿宋_GB2312" w:hAnsiTheme="minorEastAsia" w:cstheme="minorEastAsia"/>
          <w:sz w:val="32"/>
          <w:szCs w:val="32"/>
        </w:rPr>
        <w:t>年末结转和结余资金：指单位结转下年的基本支出结转、项目支出结转和结余和经营结余。</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十一</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基本支出：指为保障机构正常运转、完成日常工作任务而发生的人员支出和公用支出。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十二</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十三</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十四</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十五</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对附属单位补助支出：指事业单位用财政补助收入之外的收入对附属单位补助发生的支出。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十六</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十七</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eastAsia="zh-CN"/>
        </w:rPr>
        <w:t>七、国有</w:t>
      </w:r>
      <w:r>
        <w:rPr>
          <w:rFonts w:hint="eastAsia" w:ascii="楷体" w:hAnsi="楷体" w:eastAsia="楷体" w:cstheme="minorEastAsia"/>
          <w:b w:val="0"/>
          <w:bCs/>
          <w:sz w:val="32"/>
          <w:szCs w:val="32"/>
          <w:lang w:val="en-US" w:eastAsia="zh-CN"/>
        </w:rPr>
        <w:t>资产占用情况说明</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截止20</w:t>
      </w:r>
      <w:r>
        <w:rPr>
          <w:rFonts w:hint="eastAsia" w:ascii="仿宋_GB2312" w:hAnsi="仿宋_GB2312" w:eastAsia="仿宋_GB2312" w:cs="仿宋_GB2312"/>
          <w:sz w:val="32"/>
          <w:szCs w:val="32"/>
          <w:shd w:val="clear" w:color="auto" w:fill="FFFFFF"/>
          <w:lang w:val="en-US" w:eastAsia="zh-CN"/>
        </w:rPr>
        <w:t>20</w:t>
      </w:r>
      <w:r>
        <w:rPr>
          <w:rFonts w:hint="eastAsia" w:ascii="仿宋_GB2312" w:hAnsi="仿宋_GB2312" w:eastAsia="仿宋_GB2312" w:cs="仿宋_GB2312"/>
          <w:sz w:val="32"/>
          <w:szCs w:val="32"/>
          <w:shd w:val="clear" w:color="auto" w:fill="FFFFFF"/>
        </w:rPr>
        <w:t>年12月31日，本单位资产总额</w:t>
      </w:r>
      <w:r>
        <w:rPr>
          <w:rFonts w:hint="eastAsia" w:ascii="仿宋_GB2312" w:hAnsi="仿宋_GB2312" w:eastAsia="仿宋_GB2312" w:cs="仿宋_GB2312"/>
          <w:sz w:val="32"/>
          <w:szCs w:val="32"/>
          <w:shd w:val="clear" w:color="auto" w:fill="FFFFFF"/>
          <w:lang w:val="en-US" w:eastAsia="zh-CN"/>
        </w:rPr>
        <w:t>8.66</w:t>
      </w:r>
      <w:r>
        <w:rPr>
          <w:rFonts w:hint="eastAsia" w:ascii="仿宋_GB2312" w:hAnsi="仿宋_GB2312" w:eastAsia="仿宋_GB2312" w:cs="仿宋_GB2312"/>
          <w:sz w:val="32"/>
          <w:szCs w:val="32"/>
          <w:shd w:val="clear" w:color="auto" w:fill="FFFFFF"/>
        </w:rPr>
        <w:t>万元，其中流动资产</w:t>
      </w:r>
      <w:r>
        <w:rPr>
          <w:rFonts w:hint="eastAsia" w:ascii="仿宋_GB2312" w:hAnsi="仿宋_GB2312" w:eastAsia="仿宋_GB2312" w:cs="仿宋_GB2312"/>
          <w:sz w:val="32"/>
          <w:szCs w:val="32"/>
          <w:shd w:val="clear" w:color="auto" w:fill="FFFFFF"/>
          <w:lang w:val="en-US" w:eastAsia="zh-CN"/>
        </w:rPr>
        <w:t>2.1</w:t>
      </w:r>
      <w:r>
        <w:rPr>
          <w:rFonts w:hint="eastAsia" w:ascii="仿宋_GB2312" w:hAnsi="仿宋_GB2312" w:eastAsia="仿宋_GB2312" w:cs="仿宋_GB2312"/>
          <w:sz w:val="32"/>
          <w:szCs w:val="32"/>
          <w:shd w:val="clear" w:color="auto" w:fill="FFFFFF"/>
        </w:rPr>
        <w:t>万元，固定资产</w:t>
      </w:r>
      <w:r>
        <w:rPr>
          <w:rFonts w:hint="eastAsia" w:ascii="仿宋_GB2312" w:hAnsi="仿宋_GB2312" w:eastAsia="仿宋_GB2312" w:cs="仿宋_GB2312"/>
          <w:sz w:val="32"/>
          <w:szCs w:val="32"/>
          <w:shd w:val="clear" w:color="auto" w:fill="FFFFFF"/>
          <w:lang w:val="en-US" w:eastAsia="zh-CN"/>
        </w:rPr>
        <w:t>6.16</w:t>
      </w:r>
      <w:r>
        <w:rPr>
          <w:rFonts w:hint="eastAsia" w:ascii="仿宋_GB2312" w:hAnsi="仿宋_GB2312" w:eastAsia="仿宋_GB2312" w:cs="仿宋_GB2312"/>
          <w:sz w:val="32"/>
          <w:szCs w:val="32"/>
          <w:shd w:val="clear" w:color="auto" w:fill="FFFFFF"/>
        </w:rPr>
        <w:t>万元，在建工程0万元，无形资产0.</w:t>
      </w:r>
      <w:r>
        <w:rPr>
          <w:rFonts w:hint="eastAsia" w:ascii="仿宋_GB2312" w:hAnsi="仿宋_GB2312" w:eastAsia="仿宋_GB2312" w:cs="仿宋_GB2312"/>
          <w:sz w:val="32"/>
          <w:szCs w:val="32"/>
          <w:shd w:val="clear" w:color="auto" w:fill="FFFFFF"/>
          <w:lang w:val="en-US" w:eastAsia="zh-CN"/>
        </w:rPr>
        <w:t>40</w:t>
      </w:r>
      <w:r>
        <w:rPr>
          <w:rFonts w:hint="eastAsia" w:ascii="仿宋_GB2312" w:hAnsi="仿宋_GB2312" w:eastAsia="仿宋_GB2312" w:cs="仿宋_GB2312"/>
          <w:sz w:val="32"/>
          <w:szCs w:val="32"/>
          <w:shd w:val="clear" w:color="auto" w:fill="FFFFFF"/>
        </w:rPr>
        <w:t>万元。固定资产当中，房屋构筑物 0万元，汽车1辆</w:t>
      </w:r>
      <w:r>
        <w:rPr>
          <w:rFonts w:hint="eastAsia" w:ascii="仿宋_GB2312" w:hAnsi="仿宋_GB2312" w:eastAsia="仿宋_GB2312" w:cs="仿宋_GB2312"/>
          <w:sz w:val="32"/>
          <w:szCs w:val="32"/>
          <w:shd w:val="clear" w:color="auto" w:fill="FFFFFF"/>
          <w:lang w:eastAsia="zh-CN"/>
        </w:rPr>
        <w:t>已完成折旧</w:t>
      </w:r>
      <w:r>
        <w:rPr>
          <w:rFonts w:hint="eastAsia" w:ascii="仿宋_GB2312" w:hAnsi="仿宋_GB2312" w:eastAsia="仿宋_GB2312" w:cs="仿宋_GB2312"/>
          <w:sz w:val="32"/>
          <w:szCs w:val="32"/>
          <w:shd w:val="clear" w:color="auto" w:fill="FFFFFF"/>
        </w:rPr>
        <w:t>，单价200万元以上大型设备价值 0万元，其他固定资产</w:t>
      </w:r>
      <w:r>
        <w:rPr>
          <w:rFonts w:hint="eastAsia" w:ascii="仿宋_GB2312" w:hAnsi="仿宋_GB2312" w:eastAsia="仿宋_GB2312" w:cs="仿宋_GB2312"/>
          <w:sz w:val="32"/>
          <w:szCs w:val="32"/>
          <w:shd w:val="clear" w:color="auto" w:fill="FFFFFF"/>
          <w:lang w:val="en-US" w:eastAsia="zh-CN"/>
        </w:rPr>
        <w:t>6.16</w:t>
      </w:r>
      <w:r>
        <w:rPr>
          <w:rFonts w:hint="eastAsia" w:ascii="仿宋_GB2312" w:hAnsi="仿宋_GB2312" w:eastAsia="仿宋_GB2312" w:cs="仿宋_GB2312"/>
          <w:sz w:val="32"/>
          <w:szCs w:val="32"/>
          <w:shd w:val="clear" w:color="auto" w:fill="FFFFFF"/>
        </w:rPr>
        <w:t>万元。 </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与上年相比，本年资产总额增加0万元。</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val="en-US" w:eastAsia="zh-CN"/>
        </w:rPr>
        <w:t>八、重点项目预算的绩效目标等预算绩效情况说明</w:t>
      </w:r>
    </w:p>
    <w:p>
      <w:pPr>
        <w:ind w:firstLine="640" w:firstLineChars="200"/>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lang w:val="en-US" w:eastAsia="zh-CN"/>
        </w:rPr>
        <w:t>本单位本年度无项目支出预算，无此项说明。</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val="en-US" w:eastAsia="zh-CN"/>
        </w:rPr>
        <w:t>九、</w:t>
      </w:r>
      <w:r>
        <w:rPr>
          <w:rFonts w:hint="eastAsia" w:ascii="楷体" w:hAnsi="楷体" w:eastAsia="楷体" w:cstheme="minorEastAsia"/>
          <w:b w:val="0"/>
          <w:bCs/>
          <w:sz w:val="32"/>
          <w:szCs w:val="32"/>
        </w:rPr>
        <w:t>一般公共预算“三公”经费支出</w:t>
      </w:r>
      <w:r>
        <w:rPr>
          <w:rFonts w:hint="eastAsia" w:ascii="楷体" w:hAnsi="楷体" w:eastAsia="楷体" w:cstheme="minorEastAsia"/>
          <w:b w:val="0"/>
          <w:bCs/>
          <w:sz w:val="32"/>
          <w:szCs w:val="32"/>
          <w:lang w:eastAsia="zh-CN"/>
        </w:rPr>
        <w:t>增减变化原因等说明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21</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年度一般公共预算“三公”经费预算数为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与</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2020年度无差异。</w:t>
      </w:r>
      <w:r>
        <w:rPr>
          <w:rFonts w:hint="eastAsia" w:ascii="仿宋_GB2312" w:eastAsia="仿宋_GB2312" w:hAnsiTheme="minorEastAsia" w:cstheme="minorEastAsia"/>
          <w:color w:val="000000" w:themeColor="text1"/>
          <w:sz w:val="32"/>
          <w:szCs w:val="32"/>
          <w14:textFill>
            <w14:solidFill>
              <w14:schemeClr w14:val="tx1"/>
            </w14:solidFill>
          </w14:textFill>
        </w:rPr>
        <w:t>其中：</w:t>
      </w:r>
    </w:p>
    <w:p>
      <w:pPr>
        <w:numPr>
          <w:ilvl w:val="0"/>
          <w:numId w:val="1"/>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因公出国（境）支出年初预算数为0万元，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因公出国（境）团组数为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0，人数为0。</w:t>
      </w:r>
      <w:r>
        <w:rPr>
          <w:rFonts w:hint="eastAsia" w:ascii="仿宋_GB2312" w:eastAsia="仿宋_GB2312" w:hAnsiTheme="minorEastAsia" w:cstheme="minorEastAsia"/>
          <w:color w:val="000000" w:themeColor="text1"/>
          <w:sz w:val="32"/>
          <w:szCs w:val="32"/>
          <w14:textFill>
            <w14:solidFill>
              <w14:schemeClr w14:val="tx1"/>
            </w14:solidFill>
          </w14:textFill>
        </w:rPr>
        <w:t>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p>
    <w:p>
      <w:pPr>
        <w:numPr>
          <w:ilvl w:val="0"/>
          <w:numId w:val="1"/>
        </w:numPr>
        <w:ind w:left="0" w:leftChars="0"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公务接待费支出年初预算数为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无差异。</w:t>
      </w:r>
    </w:p>
    <w:p>
      <w:pPr>
        <w:numPr>
          <w:ilvl w:val="0"/>
          <w:numId w:val="1"/>
        </w:numPr>
        <w:ind w:left="0" w:leftChars="0"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公务用车购置及运行维护费支出0万元，其中公务用车购置年初预算数为0万元，较20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无差异</w:t>
      </w:r>
      <w:r>
        <w:rPr>
          <w:rFonts w:hint="eastAsia" w:ascii="仿宋_GB2312" w:eastAsia="仿宋_GB2312" w:hAnsiTheme="minorEastAsia" w:cstheme="minorEastAsia"/>
          <w:color w:val="000000" w:themeColor="text1"/>
          <w:sz w:val="32"/>
          <w:szCs w:val="32"/>
          <w14:textFill>
            <w14:solidFill>
              <w14:schemeClr w14:val="tx1"/>
            </w14:solidFill>
          </w14:textFill>
        </w:rPr>
        <w:t>；公务用车运行维护费支出年初预算数为0万元，较20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无差异</w:t>
      </w:r>
      <w:r>
        <w:rPr>
          <w:rFonts w:hint="eastAsia" w:ascii="仿宋_GB2312" w:eastAsia="仿宋_GB2312" w:hAnsiTheme="minorEastAsia" w:cstheme="minorEastAsia"/>
          <w:color w:val="000000" w:themeColor="text1"/>
          <w:sz w:val="32"/>
          <w:szCs w:val="32"/>
          <w14:textFill>
            <w14:solidFill>
              <w14:schemeClr w14:val="tx1"/>
            </w14:solidFill>
          </w14:textFill>
        </w:rPr>
        <w:t>。</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本年度公务用车购置数</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0辆，公务用车保有量0辆。</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十、政府性基金预算支出预算情况说明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C1644B"/>
    <w:rsid w:val="01DA336E"/>
    <w:rsid w:val="05E42E29"/>
    <w:rsid w:val="061E09E3"/>
    <w:rsid w:val="06A43BA7"/>
    <w:rsid w:val="087A6196"/>
    <w:rsid w:val="0A940E9A"/>
    <w:rsid w:val="0C5A5250"/>
    <w:rsid w:val="0C64513E"/>
    <w:rsid w:val="0DE649EC"/>
    <w:rsid w:val="0EE25EB1"/>
    <w:rsid w:val="10CB3E8D"/>
    <w:rsid w:val="117FEE6C"/>
    <w:rsid w:val="11F35FF2"/>
    <w:rsid w:val="179A58B8"/>
    <w:rsid w:val="1969220D"/>
    <w:rsid w:val="1B4A6025"/>
    <w:rsid w:val="1DF453AF"/>
    <w:rsid w:val="1E107510"/>
    <w:rsid w:val="1E643EFE"/>
    <w:rsid w:val="1ED758A6"/>
    <w:rsid w:val="209E0EC3"/>
    <w:rsid w:val="22140CC1"/>
    <w:rsid w:val="24D63713"/>
    <w:rsid w:val="2A937DAC"/>
    <w:rsid w:val="2DB60033"/>
    <w:rsid w:val="2F754CA8"/>
    <w:rsid w:val="2FB928F6"/>
    <w:rsid w:val="341824CB"/>
    <w:rsid w:val="343F3937"/>
    <w:rsid w:val="34D53928"/>
    <w:rsid w:val="36870474"/>
    <w:rsid w:val="37015ED3"/>
    <w:rsid w:val="39E01B38"/>
    <w:rsid w:val="3F5C42DA"/>
    <w:rsid w:val="43E475B8"/>
    <w:rsid w:val="458B37F5"/>
    <w:rsid w:val="467D2DBE"/>
    <w:rsid w:val="47B510DA"/>
    <w:rsid w:val="48832669"/>
    <w:rsid w:val="48E87EB6"/>
    <w:rsid w:val="4A4F3891"/>
    <w:rsid w:val="4AFA4BB2"/>
    <w:rsid w:val="4D9B3CEE"/>
    <w:rsid w:val="4EBA5260"/>
    <w:rsid w:val="522F50B0"/>
    <w:rsid w:val="52567629"/>
    <w:rsid w:val="582B68F4"/>
    <w:rsid w:val="5B59149E"/>
    <w:rsid w:val="5D083F24"/>
    <w:rsid w:val="5D306324"/>
    <w:rsid w:val="5E0B45F3"/>
    <w:rsid w:val="60860A87"/>
    <w:rsid w:val="60B46440"/>
    <w:rsid w:val="61C6166E"/>
    <w:rsid w:val="635C762A"/>
    <w:rsid w:val="6FD93AE0"/>
    <w:rsid w:val="71715484"/>
    <w:rsid w:val="71FC58C7"/>
    <w:rsid w:val="7249546B"/>
    <w:rsid w:val="729F0AAD"/>
    <w:rsid w:val="75F45C0F"/>
    <w:rsid w:val="79BD1BE6"/>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4</TotalTime>
  <ScaleCrop>false</ScaleCrop>
  <LinksUpToDate>false</LinksUpToDate>
  <CharactersWithSpaces>3878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2021-05-21T10:08:00Z</dcterms:created>
  <dc:creator>亚亚</dc:creator>
  <cp:lastModifiedBy>user</cp:lastModifiedBy>
  <cp:lastPrinted>2019-09-11T14:01:00Z</cp:lastPrinted>
  <dcterms:modified xsi:type="dcterms:W3CDTF">2023-08-07T19:07:24Z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F7882FB3860C427F8E26F54BB094A7E2</vt:lpwstr>
  </property>
</Properties>
</file>