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rPr>
      </w:pPr>
      <w:r>
        <w:rPr>
          <w:rFonts w:hint="eastAsia" w:ascii="黑体" w:hAnsi="黑体" w:eastAsia="黑体" w:cstheme="minorEastAsia"/>
          <w:sz w:val="44"/>
          <w:szCs w:val="44"/>
          <w:lang w:val="en-US" w:eastAsia="zh-CN"/>
        </w:rPr>
        <w:t>中共襄垣</w:t>
      </w:r>
      <w:r>
        <w:rPr>
          <w:rFonts w:hint="eastAsia" w:ascii="黑体" w:hAnsi="黑体" w:eastAsia="黑体" w:cstheme="minorEastAsia"/>
          <w:sz w:val="44"/>
          <w:szCs w:val="44"/>
          <w:lang w:eastAsia="zh-CN"/>
        </w:rPr>
        <w:t xml:space="preserve">县委巡察工作办公室 </w:t>
      </w:r>
    </w:p>
    <w:p>
      <w:pPr>
        <w:jc w:val="center"/>
        <w:rPr>
          <w:rFonts w:ascii="黑体" w:hAnsi="黑体" w:eastAsia="黑体" w:cstheme="minorEastAsia"/>
          <w:sz w:val="44"/>
          <w:szCs w:val="44"/>
        </w:rPr>
      </w:pPr>
      <w:r>
        <w:rPr>
          <w:rFonts w:hint="eastAsia" w:ascii="黑体" w:hAnsi="黑体" w:eastAsia="黑体" w:cstheme="minorEastAsia"/>
          <w:sz w:val="44"/>
          <w:szCs w:val="44"/>
          <w:lang w:val="en-US" w:eastAsia="zh-CN"/>
        </w:rPr>
        <w:t>2021</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2"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县委巡察办是县级专职巡察机构，属党委工作部门，负责对县党委所管理的地方、部门、企事业单位党组织全面巡察， 对象为：乡镇（街道）党（工）委领导班子及其成员；县党委工作部门领导班子及其成员，人大常委会机关</w:t>
      </w:r>
      <w:bookmarkStart w:id="0" w:name="_GoBack"/>
      <w:bookmarkEnd w:id="0"/>
      <w:r>
        <w:rPr>
          <w:rFonts w:hint="eastAsia" w:ascii="仿宋" w:hAnsi="仿宋" w:eastAsia="仿宋" w:cs="仿宋_GB2312"/>
          <w:color w:val="auto"/>
          <w:kern w:val="2"/>
          <w:sz w:val="30"/>
          <w:szCs w:val="30"/>
          <w:lang w:val="en-US" w:eastAsia="zh-CN" w:bidi="ar"/>
        </w:rPr>
        <w:t>、政府部门、政协机关、人民团体党组织领导班子及其成员；县管国有企业、事业单位党组织领导班子及其成员；县委巡察对象所属党组织领导班子及其成员；县党委要求巡察的其他单位的党组织领导班子及其成员；有选择、有重点地对行政村（社区）党组织开展巡察。重点是对巡察对象执行党章和其他党内法规，遵守党的纪律，落实全面从严治党主体责任和监督责任等情况进行监督，着力发现基层党的领导弱化、党的建设缺失、全面从严治党不力，党的观念淡薄、组织涣散、纪律松弛，管党治党宽松软等问题。</w:t>
      </w:r>
    </w:p>
    <w:p>
      <w:pPr>
        <w:ind w:firstLine="642"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default"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县委巡察办为县委工作部门，机构设在纪委，规格为正科级。内设6个科室。分别为：综合一室、综合二室、第一巡察组、第二巡察组、第三巡察组、第四巡察组。</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现有行政编制16名。实有14人，其中公务员14名。</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县委巡察办2021年度收入预算总计153.09万元、支出预算总计153.09万元，与上年相比收入总计增加0.6万元，增长0.39 %；支出预算总计增加0.6万元，增长0.39 %。主要原因是2021年度人员增加等原因。其中：</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（一）收入预算总计153.09万元。包括：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1．财政拨款收入预算总计153.09万元。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（1）一般公共预算收入预算153.09万元，与上年相比增加0.6万元，增长0.39 %。主要原因是2021年度人员增加等原因。</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2．财政专户管理资金收入预算总计0万元。与上年相比无差异。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（二）支出预算总计153.09万元。包括：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1．一般公共服务（类）支出121.02万元，主要用于行政运行及机关事务支出。与上年相比增加3.2万元，增长2.72%。主要原因是人员增加。</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2．公共安全（类）支出0万元，与上年相比无差异。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3．结转下年资金预算数为0万元。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此外，基本支出预算数为153.09万元。与上年相比增加7.93万元，增长5.46%。主要原因是人员增加。</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项目支出预算数为0万元。与上年相比减少7.33万元，减少100%。主要原因是减少项目支出预算。</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单位预留机动经费预算数为0万元。与上年相比增加0万元。</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四</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机关运行经费安排情况说明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11.2万元，较2020年增加0.8万元，其中：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1.11万元、维修（护）费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0.4万元、劳务费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4.5万元、工会经费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1.13万元、福利费支出2.2万元、其他商品和服务支出0.7万元、办公设备购置1.16万元</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加</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变化</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为人员增加。</w:t>
      </w:r>
    </w:p>
    <w:p>
      <w:pPr>
        <w:ind w:firstLine="640" w:firstLineChars="200"/>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楷体" w:hAnsi="楷体" w:eastAsia="楷体" w:cstheme="minorEastAsia"/>
          <w:b w:val="0"/>
          <w:bCs/>
          <w:color w:val="000000" w:themeColor="text1"/>
          <w:sz w:val="32"/>
          <w:szCs w:val="32"/>
          <w14:textFill>
            <w14:solidFill>
              <w14:schemeClr w14:val="tx1"/>
            </w14:solidFill>
          </w14:textFill>
        </w:rPr>
        <w:t>政府采购</w:t>
      </w:r>
      <w:r>
        <w:rPr>
          <w:rFonts w:hint="eastAsia" w:ascii="楷体" w:hAnsi="楷体" w:eastAsia="楷体" w:cstheme="minorEastAsia"/>
          <w:b w:val="0"/>
          <w:bCs/>
          <w:color w:val="000000" w:themeColor="text1"/>
          <w:sz w:val="32"/>
          <w:szCs w:val="32"/>
          <w:lang w:eastAsia="zh-CN"/>
          <w14:textFill>
            <w14:solidFill>
              <w14:schemeClr w14:val="tx1"/>
            </w14:solidFill>
          </w14:textFill>
        </w:rPr>
        <w:t>安排</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numPr>
          <w:ilvl w:val="0"/>
          <w:numId w:val="0"/>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2021</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1.16</w:t>
      </w:r>
      <w:r>
        <w:rPr>
          <w:rFonts w:hint="eastAsia" w:ascii="仿宋_GB2312" w:eastAsia="仿宋_GB2312" w:hAnsiTheme="minorEastAsia" w:cstheme="minorEastAsia"/>
          <w:color w:val="000000" w:themeColor="text1"/>
          <w:sz w:val="32"/>
          <w:szCs w:val="32"/>
          <w14:textFill>
            <w14:solidFill>
              <w14:schemeClr w14:val="tx1"/>
            </w14:solidFill>
          </w14:textFill>
        </w:rPr>
        <w:t>万元，其中：政府采购货物支出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1.16</w:t>
      </w:r>
      <w:r>
        <w:rPr>
          <w:rFonts w:hint="eastAsia" w:ascii="仿宋_GB2312" w:eastAsia="仿宋_GB2312" w:hAnsiTheme="minorEastAsia" w:cstheme="minorEastAsia"/>
          <w:color w:val="000000" w:themeColor="text1"/>
          <w:sz w:val="32"/>
          <w:szCs w:val="32"/>
          <w14:textFill>
            <w14:solidFill>
              <w14:schemeClr w14:val="tx1"/>
            </w14:solidFill>
          </w14:textFill>
        </w:rPr>
        <w:t>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六</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对专业性较强的名词进行解释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（二）</w:t>
      </w:r>
      <w:r>
        <w:rPr>
          <w:rFonts w:hint="eastAsia" w:ascii="仿宋_GB2312" w:eastAsia="仿宋_GB2312" w:hAnsiTheme="minorEastAsia" w:cstheme="minorEastAsia"/>
          <w:color w:val="000000" w:themeColor="text1"/>
          <w:sz w:val="32"/>
          <w:szCs w:val="32"/>
          <w14:textFill>
            <w14:solidFill>
              <w14:schemeClr w14:val="tx1"/>
            </w14:solidFill>
          </w14:textFill>
        </w:rPr>
        <w:t>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（三）</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（四）</w:t>
      </w:r>
      <w:r>
        <w:rPr>
          <w:rFonts w:hint="eastAsia" w:ascii="仿宋_GB2312" w:eastAsia="仿宋_GB2312" w:hAnsiTheme="minorEastAsia" w:cstheme="minorEastAsia"/>
          <w:color w:val="000000" w:themeColor="text1"/>
          <w:sz w:val="32"/>
          <w:szCs w:val="32"/>
          <w14:textFill>
            <w14:solidFill>
              <w14:schemeClr w14:val="tx1"/>
            </w14:solidFill>
          </w14:textFill>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仿宋_GB2312" w:eastAsia="仿宋_GB2312" w:hAnsiTheme="minorEastAsia" w:cstheme="minorEastAsia"/>
          <w:color w:val="000000" w:themeColor="text1"/>
          <w:sz w:val="32"/>
          <w:szCs w:val="32"/>
          <w14:textFill>
            <w14:solidFill>
              <w14:schemeClr w14:val="tx1"/>
            </w14:solidFill>
          </w14:textFill>
        </w:rPr>
        <w:t>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（六）</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（七）</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（八）</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（九）</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（十）</w:t>
      </w:r>
      <w:r>
        <w:rPr>
          <w:rFonts w:hint="eastAsia" w:ascii="仿宋_GB2312" w:eastAsia="仿宋_GB2312" w:hAnsiTheme="minorEastAsia" w:cstheme="minorEastAsia"/>
          <w:color w:val="000000" w:themeColor="text1"/>
          <w:sz w:val="32"/>
          <w:szCs w:val="32"/>
          <w14:textFill>
            <w14:solidFill>
              <w14:schemeClr w14:val="tx1"/>
            </w14:solidFill>
          </w14:textFill>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十一</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十二</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十四</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十五</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七、国有</w:t>
      </w:r>
      <w:r>
        <w:rPr>
          <w:rFonts w:hint="eastAsia" w:ascii="楷体" w:hAnsi="楷体" w:eastAsia="楷体" w:cstheme="minorEastAsia"/>
          <w:b w:val="0"/>
          <w:bCs/>
          <w:color w:val="000000" w:themeColor="text1"/>
          <w:sz w:val="32"/>
          <w:szCs w:val="32"/>
          <w:lang w:val="en-US" w:eastAsia="zh-CN"/>
          <w14:textFill>
            <w14:solidFill>
              <w14:schemeClr w14:val="tx1"/>
            </w14:solidFill>
          </w14:textFill>
        </w:rPr>
        <w:t>资产占用情况说明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截止2020年12月31日，本单位资产总额49.72万元，其中流动资产0万元，固定资产47.54万元，在建工程0万元，无形资产2.18万元。固定资产当中，房屋构筑物0.36万元，汽车0辆0万元，单价200万元以上大型设备价值0万元，其他固定资产47.18万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与上年相比，本年资产总额增加0.1万元。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八、重点项目预算的绩效目标等预算绩效情况说明</w:t>
      </w:r>
    </w:p>
    <w:p>
      <w:pPr>
        <w:ind w:firstLine="640" w:firstLineChars="200"/>
        <w:rPr>
          <w:rFonts w:hint="default"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我单位本年度无重点项目支出预算，无此项说明。</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九、</w:t>
      </w:r>
      <w:r>
        <w:rPr>
          <w:rFonts w:hint="eastAsia" w:ascii="楷体" w:hAnsi="楷体" w:eastAsia="楷体" w:cstheme="minorEastAsia"/>
          <w:b w:val="0"/>
          <w:bCs/>
          <w:color w:val="000000" w:themeColor="text1"/>
          <w:sz w:val="32"/>
          <w:szCs w:val="32"/>
          <w14:textFill>
            <w14:solidFill>
              <w14:schemeClr w14:val="tx1"/>
            </w14:solidFill>
          </w14:textFill>
        </w:rPr>
        <w:t>一般公共预算“三公”经费支出</w:t>
      </w:r>
      <w:r>
        <w:rPr>
          <w:rFonts w:hint="eastAsia" w:ascii="楷体" w:hAnsi="楷体" w:eastAsia="楷体" w:cstheme="minorEastAsia"/>
          <w:b w:val="0"/>
          <w:bCs/>
          <w:color w:val="000000" w:themeColor="text1"/>
          <w:sz w:val="32"/>
          <w:szCs w:val="32"/>
          <w:lang w:eastAsia="zh-CN"/>
          <w14:textFill>
            <w14:solidFill>
              <w14:schemeClr w14:val="tx1"/>
            </w14:solidFill>
          </w14:textFill>
        </w:rPr>
        <w:t>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2021</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增加0</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其中：</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因公出国（境）团组数为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0，人数为0。</w:t>
      </w:r>
      <w:r>
        <w:rPr>
          <w:rFonts w:hint="eastAsia" w:ascii="仿宋_GB2312" w:eastAsia="仿宋_GB2312" w:hAnsiTheme="minorEastAsia" w:cstheme="minorEastAsia"/>
          <w:color w:val="000000" w:themeColor="text1"/>
          <w:sz w:val="32"/>
          <w:szCs w:val="32"/>
          <w14:textFill>
            <w14:solidFill>
              <w14:schemeClr w14:val="tx1"/>
            </w14:solidFill>
          </w14:textFill>
        </w:rPr>
        <w:t>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增加0</w:t>
      </w:r>
      <w:r>
        <w:rPr>
          <w:rFonts w:hint="eastAsia" w:ascii="仿宋_GB2312" w:eastAsia="仿宋_GB2312" w:hAnsiTheme="minorEastAsia" w:cstheme="minorEastAsia"/>
          <w:color w:val="000000" w:themeColor="text1"/>
          <w:sz w:val="32"/>
          <w:szCs w:val="32"/>
          <w14:textFill>
            <w14:solidFill>
              <w14:schemeClr w14:val="tx1"/>
            </w14:solidFill>
          </w14:textFill>
        </w:rPr>
        <w:t>万元。</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本年度公务用车购置数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0辆，公务用车保有量0辆。</w:t>
      </w:r>
    </w:p>
    <w:p>
      <w:pPr>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04299A"/>
    <w:rsid w:val="014A06B6"/>
    <w:rsid w:val="01742A72"/>
    <w:rsid w:val="01DA336E"/>
    <w:rsid w:val="045B1223"/>
    <w:rsid w:val="05E42E29"/>
    <w:rsid w:val="061E09E3"/>
    <w:rsid w:val="06A43BA7"/>
    <w:rsid w:val="087A6196"/>
    <w:rsid w:val="0B3A6515"/>
    <w:rsid w:val="0C5A5250"/>
    <w:rsid w:val="0C64513E"/>
    <w:rsid w:val="0DE649EC"/>
    <w:rsid w:val="0EE25EB1"/>
    <w:rsid w:val="0F196D0A"/>
    <w:rsid w:val="0FE14009"/>
    <w:rsid w:val="10CB3E8D"/>
    <w:rsid w:val="11F35FF2"/>
    <w:rsid w:val="13C63E76"/>
    <w:rsid w:val="179A58B8"/>
    <w:rsid w:val="17C85A4F"/>
    <w:rsid w:val="1B4A6025"/>
    <w:rsid w:val="1DF453AF"/>
    <w:rsid w:val="1E107510"/>
    <w:rsid w:val="1E643EFE"/>
    <w:rsid w:val="1E6C3F28"/>
    <w:rsid w:val="209E0EC3"/>
    <w:rsid w:val="22140CC1"/>
    <w:rsid w:val="23FB5A01"/>
    <w:rsid w:val="24D63713"/>
    <w:rsid w:val="25110115"/>
    <w:rsid w:val="2A937DAC"/>
    <w:rsid w:val="2DB60033"/>
    <w:rsid w:val="2F754CA8"/>
    <w:rsid w:val="2FB928F6"/>
    <w:rsid w:val="33B75132"/>
    <w:rsid w:val="341824CB"/>
    <w:rsid w:val="343F3937"/>
    <w:rsid w:val="34D53928"/>
    <w:rsid w:val="36805BAD"/>
    <w:rsid w:val="37015ED3"/>
    <w:rsid w:val="37F03C58"/>
    <w:rsid w:val="39693979"/>
    <w:rsid w:val="39E01B38"/>
    <w:rsid w:val="3F5C42DA"/>
    <w:rsid w:val="41C00EFE"/>
    <w:rsid w:val="424D3F6F"/>
    <w:rsid w:val="43E475B8"/>
    <w:rsid w:val="4502394B"/>
    <w:rsid w:val="458B37F5"/>
    <w:rsid w:val="467D2DBE"/>
    <w:rsid w:val="46EE3267"/>
    <w:rsid w:val="48832669"/>
    <w:rsid w:val="48E87EB6"/>
    <w:rsid w:val="4A4F3891"/>
    <w:rsid w:val="4AFA4BB2"/>
    <w:rsid w:val="4D9B3CEE"/>
    <w:rsid w:val="4EBA5260"/>
    <w:rsid w:val="522F50B0"/>
    <w:rsid w:val="52567629"/>
    <w:rsid w:val="56512C1C"/>
    <w:rsid w:val="582B68F4"/>
    <w:rsid w:val="5BD64DD0"/>
    <w:rsid w:val="5D083F24"/>
    <w:rsid w:val="5D306324"/>
    <w:rsid w:val="604D0C04"/>
    <w:rsid w:val="60860A87"/>
    <w:rsid w:val="60B46440"/>
    <w:rsid w:val="61C6166E"/>
    <w:rsid w:val="635C762A"/>
    <w:rsid w:val="65F853CA"/>
    <w:rsid w:val="6A0213FA"/>
    <w:rsid w:val="6A345EC4"/>
    <w:rsid w:val="6FD93AE0"/>
    <w:rsid w:val="70803134"/>
    <w:rsid w:val="71FC58C7"/>
    <w:rsid w:val="720C7D65"/>
    <w:rsid w:val="7235029F"/>
    <w:rsid w:val="7249546B"/>
    <w:rsid w:val="729F0AAD"/>
    <w:rsid w:val="79A95DEF"/>
    <w:rsid w:val="7C7014AB"/>
    <w:rsid w:val="9FF7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1</TotalTime>
  <ScaleCrop>false</ScaleCrop>
  <LinksUpToDate>false</LinksUpToDate>
  <CharactersWithSpaces>3878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2021-05-21T10:08:00Z</dcterms:created>
  <dc:creator>亚亚</dc:creator>
  <cp:lastModifiedBy>user</cp:lastModifiedBy>
  <cp:lastPrinted>2019-09-11T14:01:00Z</cp:lastPrinted>
  <dcterms:modified xsi:type="dcterms:W3CDTF">2023-10-26T15:48:55Z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F8AC168E0CDC4D6BBB411B7F957A1AF8</vt:lpwstr>
  </property>
</Properties>
</file>