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color w:val="auto"/>
          <w:sz w:val="44"/>
          <w:szCs w:val="44"/>
        </w:rPr>
      </w:pPr>
      <w:r>
        <w:rPr>
          <w:rFonts w:hint="default" w:ascii="Arial" w:hAnsi="Arial" w:eastAsia="黑体" w:cs="Arial"/>
          <w:color w:val="auto"/>
          <w:sz w:val="44"/>
          <w:szCs w:val="44"/>
          <w:lang w:eastAsia="zh-CN"/>
        </w:rPr>
        <w:t>襄垣县供销合作社联合社</w:t>
      </w:r>
    </w:p>
    <w:p>
      <w:pPr>
        <w:jc w:val="center"/>
        <w:rPr>
          <w:rFonts w:ascii="黑体" w:hAnsi="黑体" w:eastAsia="黑体" w:cstheme="minorEastAsia"/>
          <w:color w:val="auto"/>
          <w:sz w:val="44"/>
          <w:szCs w:val="44"/>
        </w:rPr>
      </w:pPr>
      <w:r>
        <w:rPr>
          <w:rFonts w:hint="eastAsia" w:ascii="黑体" w:hAnsi="黑体" w:eastAsia="黑体" w:cstheme="minorEastAsia"/>
          <w:color w:val="auto"/>
          <w:sz w:val="44"/>
          <w:szCs w:val="44"/>
        </w:rPr>
        <w:t>20</w:t>
      </w:r>
      <w:r>
        <w:rPr>
          <w:rFonts w:hint="eastAsia" w:ascii="黑体" w:hAnsi="黑体" w:eastAsia="黑体" w:cstheme="minorEastAsia"/>
          <w:color w:val="auto"/>
          <w:sz w:val="44"/>
          <w:szCs w:val="44"/>
          <w:lang w:val="en-US" w:eastAsia="zh-CN"/>
        </w:rPr>
        <w:t>22</w:t>
      </w:r>
      <w:r>
        <w:rPr>
          <w:rFonts w:hint="eastAsia" w:ascii="黑体" w:hAnsi="黑体" w:eastAsia="黑体" w:cstheme="minorEastAsia"/>
          <w:color w:val="auto"/>
          <w:sz w:val="44"/>
          <w:szCs w:val="44"/>
        </w:rPr>
        <w:t>年部门</w:t>
      </w:r>
      <w:r>
        <w:rPr>
          <w:rFonts w:hint="eastAsia" w:ascii="黑体" w:hAnsi="黑体" w:eastAsia="黑体" w:cstheme="minorEastAsia"/>
          <w:color w:val="auto"/>
          <w:sz w:val="44"/>
          <w:szCs w:val="44"/>
          <w:lang w:eastAsia="zh-CN"/>
        </w:rPr>
        <w:t>预算</w:t>
      </w:r>
      <w:r>
        <w:rPr>
          <w:rFonts w:hint="eastAsia" w:ascii="黑体" w:hAnsi="黑体" w:eastAsia="黑体" w:cstheme="minorEastAsia"/>
          <w:color w:val="auto"/>
          <w:sz w:val="44"/>
          <w:szCs w:val="44"/>
        </w:rPr>
        <w:t>公开</w:t>
      </w:r>
      <w:r>
        <w:rPr>
          <w:rFonts w:hint="eastAsia" w:ascii="黑体" w:hAnsi="黑体" w:eastAsia="黑体" w:cstheme="minorEastAsia"/>
          <w:color w:val="auto"/>
          <w:sz w:val="44"/>
          <w:szCs w:val="44"/>
          <w:lang w:eastAsia="zh-CN"/>
        </w:rPr>
        <w:t>情况</w:t>
      </w:r>
      <w:r>
        <w:rPr>
          <w:rFonts w:hint="eastAsia" w:ascii="黑体" w:hAnsi="黑体" w:eastAsia="黑体" w:cstheme="minorEastAsia"/>
          <w:color w:val="auto"/>
          <w:sz w:val="44"/>
          <w:szCs w:val="44"/>
        </w:rPr>
        <w:t>说明</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3" w:firstLineChars="200"/>
        <w:rPr>
          <w:rFonts w:hint="eastAsia"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一、部门主要职能</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（一）、研究制定和组织实施全县供销社系统的发展战略和规划，指导全县供销社的改革与发展及所属单位班子建设。</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（二）、向政府和有关部门反映农民社员、基层供销社的意见、要求，争取扶持政策，维护供销社的合法权益。负责社有资产的管理，确保社有资产保值增值。</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（三）、指导全县供销社的业务活动，指导农民产业化经营，引导帮助农民发展商品生产和有组织地进入市场，加强系统间的联合与合作。</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（四）、指导基层供销社发挥人才、信息、科技、经济的优势，协同有关部门为发展城乡经济服务。</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（五）、宣传贯彻落实党和国家有关农村经济和社会发展的方针政策，指导全县供销社加强精神文明建设。</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（六）、参加全国总社和省市社组织的国内外经济交流活动，开展经济贸易技术人才交流，发展友好合作关系。</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（七）、参加与新农村建设，承办县人民政府交办的其他事项。</w:t>
      </w:r>
    </w:p>
    <w:p>
      <w:pPr>
        <w:ind w:firstLine="643" w:firstLineChars="200"/>
        <w:rPr>
          <w:rFonts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二、部门基本情况</w:t>
      </w:r>
    </w:p>
    <w:p>
      <w:pPr>
        <w:widowControl/>
        <w:spacing w:line="324" w:lineRule="atLeast"/>
        <w:ind w:left="540"/>
        <w:jc w:val="left"/>
        <w:rPr>
          <w:rFonts w:hint="eastAsia" w:ascii="仿宋_GB2312" w:hAnsi="楷体" w:eastAsia="仿宋_GB2312" w:cs="宋体"/>
          <w:b w:val="0"/>
          <w:bCs/>
          <w:color w:val="auto"/>
          <w:kern w:val="0"/>
          <w:sz w:val="18"/>
          <w:szCs w:val="18"/>
          <w:lang w:eastAsia="zh-CN"/>
        </w:rPr>
      </w:pPr>
      <w:r>
        <w:rPr>
          <w:rFonts w:hint="eastAsia" w:ascii="仿宋_GB2312" w:hAnsi="楷体" w:eastAsia="仿宋_GB2312" w:cs="宋体"/>
          <w:b w:val="0"/>
          <w:bCs/>
          <w:color w:val="auto"/>
          <w:kern w:val="0"/>
          <w:sz w:val="32"/>
          <w:szCs w:val="32"/>
        </w:rPr>
        <w:t>（一）</w:t>
      </w:r>
      <w:r>
        <w:rPr>
          <w:rFonts w:hint="eastAsia" w:ascii="仿宋_GB2312" w:hAnsi="楷体" w:eastAsia="仿宋_GB2312" w:cs="宋体"/>
          <w:b w:val="0"/>
          <w:bCs/>
          <w:color w:val="auto"/>
          <w:kern w:val="0"/>
          <w:sz w:val="32"/>
          <w:szCs w:val="32"/>
          <w:lang w:eastAsia="zh-CN"/>
        </w:rPr>
        <w:t>机构设置情况</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 xml:space="preserve">襄垣县供销合作社联合社机关内设 8个职能股室、中心，职能股室、中心分别为：办公室、人事科、监审科、财务科、安全科、经济运行科、老干部管理科、核算室。  </w:t>
      </w:r>
    </w:p>
    <w:p>
      <w:pPr>
        <w:widowControl/>
        <w:spacing w:line="324" w:lineRule="atLeast"/>
        <w:ind w:left="540"/>
        <w:jc w:val="left"/>
        <w:rPr>
          <w:rFonts w:ascii="仿宋_GB2312" w:hAnsi="楷体" w:eastAsia="仿宋_GB2312" w:cs="宋体"/>
          <w:b w:val="0"/>
          <w:bCs/>
          <w:color w:val="auto"/>
          <w:kern w:val="0"/>
          <w:sz w:val="32"/>
          <w:szCs w:val="32"/>
        </w:rPr>
      </w:pPr>
      <w:r>
        <w:rPr>
          <w:rFonts w:hint="eastAsia" w:ascii="仿宋_GB2312" w:hAnsi="楷体" w:eastAsia="仿宋_GB2312" w:cs="宋体"/>
          <w:b w:val="0"/>
          <w:bCs/>
          <w:color w:val="auto"/>
          <w:kern w:val="0"/>
          <w:sz w:val="32"/>
          <w:szCs w:val="32"/>
        </w:rPr>
        <w:t>（二）人员情况说明</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2"/>
          <w:szCs w:val="32"/>
          <w:lang w:val="en-US" w:eastAsia="zh-CN" w:bidi="ar"/>
        </w:rPr>
        <w:t>现有行政、事业编制16名，其中，行政编制0名，事业编制16名。实有15人，其中公务员0名，行政工勤4人，事业人员11名，其他 0人。</w:t>
      </w:r>
    </w:p>
    <w:p>
      <w:pPr>
        <w:ind w:firstLine="640" w:firstLineChars="200"/>
        <w:rPr>
          <w:rFonts w:hint="eastAsia" w:ascii="黑体" w:hAnsi="黑体" w:eastAsia="黑体" w:cstheme="minorEastAsia"/>
          <w:color w:val="auto"/>
          <w:sz w:val="32"/>
          <w:szCs w:val="32"/>
          <w:lang w:eastAsia="zh-CN"/>
        </w:rPr>
      </w:pPr>
      <w:r>
        <w:rPr>
          <w:rFonts w:hint="eastAsia" w:ascii="黑体" w:hAnsi="黑体" w:eastAsia="黑体" w:cstheme="minorEastAsia"/>
          <w:color w:val="auto"/>
          <w:sz w:val="32"/>
          <w:szCs w:val="32"/>
          <w:lang w:eastAsia="zh-CN"/>
        </w:rPr>
        <w:t>三、预算收支增减变化情况说明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襄垣县供销合作社联合社2022年度收入、支出预算总计177.74万元，与上年相比收、支预算总计各减少1.53万元，减少0.86%。其中：</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（一）收入预算总计177.74万元。包括：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1．财政拨款收入预算总计177.74万元。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（1）一般公共预算收入预算177.74万元，与上年相比减少1.53万元，减少0.86 %。主要原因是2022年在职人员较2020年减少，所以工资减少。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（2）政府性基金收入预算0万元，与上年相比增加（减少）0万元，增长（减少）0 %。</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2．财政专户管理资金收入预算总计0万元。与上年相比增加（减少）0万元，增长（减少）0 %。</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3．其他资金收入预算总计0万元。与上年相比增加（减少）0万元，增长（减少）0 %。</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4．上年结转资金预算数为0万元。与上年相比增加（减少）0万元，增长（减少）0%。</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（二）支出预算总计177.74万元。包括：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1．一般公共服务（类）支出128.57万元，</w:t>
      </w:r>
      <w:r>
        <w:rPr>
          <w:rFonts w:hint="eastAsia" w:ascii="仿宋" w:hAnsi="仿宋" w:eastAsia="仿宋" w:cs="仿宋_GB2312"/>
          <w:strike w:val="0"/>
          <w:dstrike w:val="0"/>
          <w:color w:val="auto"/>
          <w:kern w:val="2"/>
          <w:sz w:val="32"/>
          <w:szCs w:val="32"/>
          <w:lang w:val="en-US" w:eastAsia="zh-CN" w:bidi="ar"/>
        </w:rPr>
        <w:t>主要用于行政运行（商业流通事务）、 事业运行（商业流通事务）。</w:t>
      </w:r>
      <w:r>
        <w:rPr>
          <w:rFonts w:hint="eastAsia" w:ascii="仿宋" w:hAnsi="仿宋" w:eastAsia="仿宋" w:cs="仿宋_GB2312"/>
          <w:color w:val="auto"/>
          <w:kern w:val="2"/>
          <w:sz w:val="32"/>
          <w:szCs w:val="32"/>
          <w:lang w:val="en-US" w:eastAsia="zh-CN" w:bidi="ar"/>
        </w:rPr>
        <w:t>与上年相比增加10.42万元，减少7.5%。主要原因是2022年在职人员较2021年减少，所以工资减少。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2．公共安全（类）支出34.49万元，</w:t>
      </w:r>
      <w:r>
        <w:rPr>
          <w:rFonts w:hint="eastAsia" w:ascii="仿宋" w:hAnsi="仿宋" w:eastAsia="仿宋" w:cs="仿宋_GB2312"/>
          <w:strike w:val="0"/>
          <w:dstrike w:val="0"/>
          <w:color w:val="auto"/>
          <w:kern w:val="2"/>
          <w:sz w:val="32"/>
          <w:szCs w:val="32"/>
          <w:lang w:val="en-US" w:eastAsia="zh-CN" w:bidi="ar"/>
        </w:rPr>
        <w:t>主要用于社会保障和就业支出、医疗卫生与计划生育支出、住房保障支出。</w:t>
      </w:r>
      <w:r>
        <w:rPr>
          <w:rFonts w:hint="eastAsia" w:ascii="仿宋" w:hAnsi="仿宋" w:eastAsia="仿宋" w:cs="仿宋_GB2312"/>
          <w:color w:val="auto"/>
          <w:kern w:val="2"/>
          <w:sz w:val="32"/>
          <w:szCs w:val="32"/>
          <w:lang w:val="en-US" w:eastAsia="zh-CN" w:bidi="ar"/>
        </w:rPr>
        <w:t>与上年相比减少5.79万元，减少16.79%。</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3．结转下年资金预算数为0万元，</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项目支出预算数为570万元。与上年相比增加456万元，增加80%。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单位预留机动经费预算数为0万元。与上年相比增加（减少） 0万元，增长（减少）0 %。</w:t>
      </w:r>
      <w:r>
        <w:rPr>
          <w:rFonts w:hint="eastAsia" w:ascii="仿宋_GB2312" w:eastAsia="仿宋_GB2312" w:hAnsiTheme="minorEastAsia" w:cstheme="minorEastAsia"/>
          <w:color w:val="auto"/>
          <w:sz w:val="32"/>
          <w:szCs w:val="32"/>
          <w:lang w:eastAsia="zh-CN"/>
        </w:rPr>
        <w:t>本单位本年度无此项预算，故无此项说明</w:t>
      </w:r>
      <w:r>
        <w:rPr>
          <w:rFonts w:hint="eastAsia" w:ascii="仿宋" w:hAnsi="仿宋" w:eastAsia="仿宋" w:cs="仿宋_GB2312"/>
          <w:color w:val="auto"/>
          <w:kern w:val="2"/>
          <w:sz w:val="32"/>
          <w:szCs w:val="32"/>
          <w:lang w:val="en-US" w:eastAsia="zh-CN" w:bidi="ar"/>
        </w:rPr>
        <w:t>。</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四</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机关运行经费安排情况说明</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本单位</w:t>
      </w:r>
      <w:r>
        <w:rPr>
          <w:rFonts w:hint="eastAsia" w:ascii="仿宋_GB2312" w:eastAsia="仿宋_GB2312" w:hAnsiTheme="minorEastAsia" w:cstheme="minorEastAsia"/>
          <w:color w:val="auto"/>
          <w:sz w:val="32"/>
          <w:szCs w:val="32"/>
        </w:rPr>
        <w:t>机关运行经费</w:t>
      </w:r>
      <w:r>
        <w:rPr>
          <w:rFonts w:hint="eastAsia" w:ascii="仿宋_GB2312" w:eastAsia="仿宋_GB2312" w:hAnsiTheme="minorEastAsia" w:cstheme="minorEastAsia"/>
          <w:color w:val="auto"/>
          <w:sz w:val="32"/>
          <w:szCs w:val="32"/>
          <w:lang w:eastAsia="zh-CN"/>
        </w:rPr>
        <w:t>支出预算数为</w:t>
      </w:r>
      <w:r>
        <w:rPr>
          <w:rFonts w:hint="eastAsia" w:ascii="仿宋_GB2312" w:eastAsia="仿宋_GB2312" w:hAnsiTheme="minorEastAsia" w:cstheme="minorEastAsia"/>
          <w:color w:val="auto"/>
          <w:sz w:val="32"/>
          <w:szCs w:val="32"/>
          <w:lang w:val="en-US" w:eastAsia="zh-CN"/>
        </w:rPr>
        <w:t>17.88万元，较2021年增加2.04万元，其中：</w:t>
      </w:r>
      <w:r>
        <w:rPr>
          <w:rFonts w:hint="eastAsia" w:ascii="仿宋_GB2312" w:eastAsia="仿宋_GB2312" w:hAnsiTheme="minorEastAsia" w:cstheme="minorEastAsia"/>
          <w:color w:val="auto"/>
          <w:sz w:val="32"/>
          <w:szCs w:val="32"/>
        </w:rPr>
        <w:t>办公费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2.01万元</w:t>
      </w:r>
      <w:r>
        <w:rPr>
          <w:rFonts w:hint="eastAsia" w:ascii="仿宋_GB2312" w:eastAsia="仿宋_GB2312" w:hAnsiTheme="minorEastAsia" w:cstheme="minorEastAsia"/>
          <w:color w:val="auto"/>
          <w:sz w:val="32"/>
          <w:szCs w:val="32"/>
        </w:rPr>
        <w:t>、印刷费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0.08万元</w:t>
      </w:r>
      <w:r>
        <w:rPr>
          <w:rFonts w:hint="eastAsia" w:ascii="仿宋_GB2312" w:eastAsia="仿宋_GB2312" w:hAnsiTheme="minorEastAsia" w:cstheme="minorEastAsia"/>
          <w:color w:val="auto"/>
          <w:sz w:val="32"/>
          <w:szCs w:val="32"/>
        </w:rPr>
        <w:t>、差旅费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0.20万元</w:t>
      </w:r>
      <w:r>
        <w:rPr>
          <w:rFonts w:hint="eastAsia" w:ascii="仿宋_GB2312" w:eastAsia="仿宋_GB2312" w:hAnsiTheme="minorEastAsia" w:cstheme="minorEastAsia"/>
          <w:color w:val="auto"/>
          <w:sz w:val="32"/>
          <w:szCs w:val="32"/>
        </w:rPr>
        <w:t>等。</w:t>
      </w:r>
    </w:p>
    <w:p>
      <w:pPr>
        <w:ind w:firstLine="640" w:firstLineChars="200"/>
        <w:rPr>
          <w:rFonts w:hint="eastAsia" w:ascii="楷体" w:hAnsi="楷体" w:eastAsia="楷体" w:cstheme="minorEastAsia"/>
          <w:b w:val="0"/>
          <w:bCs/>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楷体" w:hAnsi="楷体" w:eastAsia="楷体" w:cstheme="minorEastAsia"/>
          <w:b w:val="0"/>
          <w:bCs/>
          <w:color w:val="auto"/>
          <w:sz w:val="32"/>
          <w:szCs w:val="32"/>
        </w:rPr>
        <w:t>政府采购</w:t>
      </w:r>
      <w:r>
        <w:rPr>
          <w:rFonts w:hint="eastAsia" w:ascii="楷体" w:hAnsi="楷体" w:eastAsia="楷体" w:cstheme="minorEastAsia"/>
          <w:b w:val="0"/>
          <w:bCs/>
          <w:color w:val="auto"/>
          <w:sz w:val="32"/>
          <w:szCs w:val="32"/>
          <w:lang w:eastAsia="zh-CN"/>
        </w:rPr>
        <w:t>安排</w:t>
      </w:r>
      <w:r>
        <w:rPr>
          <w:rFonts w:hint="eastAsia" w:ascii="楷体" w:hAnsi="楷体" w:eastAsia="楷体" w:cstheme="minorEastAsia"/>
          <w:b w:val="0"/>
          <w:bCs/>
          <w:color w:val="auto"/>
          <w:sz w:val="32"/>
          <w:szCs w:val="32"/>
        </w:rPr>
        <w:t>情况说明</w:t>
      </w:r>
    </w:p>
    <w:p>
      <w:pPr>
        <w:numPr>
          <w:ilvl w:val="0"/>
          <w:numId w:val="0"/>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22</w:t>
      </w:r>
      <w:r>
        <w:rPr>
          <w:rFonts w:hint="eastAsia" w:ascii="仿宋_GB2312" w:eastAsia="仿宋_GB2312" w:hAnsiTheme="minorEastAsia" w:cstheme="minorEastAsia"/>
          <w:color w:val="auto"/>
          <w:sz w:val="32"/>
          <w:szCs w:val="32"/>
        </w:rPr>
        <w:t>年度政府采购</w:t>
      </w:r>
      <w:r>
        <w:rPr>
          <w:rFonts w:hint="eastAsia" w:ascii="仿宋_GB2312" w:eastAsia="仿宋_GB2312" w:hAnsiTheme="minorEastAsia" w:cstheme="minorEastAsia"/>
          <w:color w:val="auto"/>
          <w:sz w:val="32"/>
          <w:szCs w:val="32"/>
          <w:lang w:eastAsia="zh-CN"/>
        </w:rPr>
        <w:t>安排</w:t>
      </w:r>
      <w:r>
        <w:rPr>
          <w:rFonts w:hint="eastAsia" w:ascii="仿宋_GB2312" w:eastAsia="仿宋_GB2312" w:hAnsiTheme="minorEastAsia" w:cstheme="minorEastAsia"/>
          <w:color w:val="auto"/>
          <w:sz w:val="32"/>
          <w:szCs w:val="32"/>
        </w:rPr>
        <w:t>0万元，其中：政府采购货物支出0万元、政府采购工程支出0万元、政府采购服务支出0万元。授予中小企业合同金额0万元，占政府采购支出总额的0%。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六</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对专业性较强的名词进行解释</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（一）</w:t>
      </w:r>
      <w:r>
        <w:rPr>
          <w:rFonts w:hint="eastAsia" w:ascii="仿宋_GB2312" w:eastAsia="仿宋_GB2312" w:hAnsiTheme="minorEastAsia" w:cstheme="minorEastAsia"/>
          <w:color w:val="auto"/>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（二）</w:t>
      </w:r>
      <w:r>
        <w:rPr>
          <w:rFonts w:hint="eastAsia" w:ascii="仿宋_GB2312" w:eastAsia="仿宋_GB2312" w:hAnsiTheme="minorEastAsia" w:cstheme="minorEastAsia"/>
          <w:color w:val="auto"/>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（三）</w:t>
      </w:r>
      <w:r>
        <w:rPr>
          <w:rFonts w:hint="eastAsia" w:ascii="仿宋_GB2312" w:eastAsia="仿宋_GB2312" w:hAnsiTheme="minorEastAsia" w:cstheme="minorEastAsia"/>
          <w:color w:val="auto"/>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（四）</w:t>
      </w:r>
      <w:r>
        <w:rPr>
          <w:rFonts w:hint="eastAsia" w:ascii="仿宋_GB2312" w:eastAsia="仿宋_GB2312" w:hAnsiTheme="minorEastAsia" w:cstheme="minorEastAsia"/>
          <w:color w:val="auto"/>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仿宋_GB2312" w:eastAsia="仿宋_GB2312" w:hAnsiTheme="minorEastAsia" w:cstheme="minorEastAsia"/>
          <w:color w:val="auto"/>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（六）</w:t>
      </w:r>
      <w:r>
        <w:rPr>
          <w:rFonts w:hint="eastAsia" w:ascii="仿宋_GB2312" w:eastAsia="仿宋_GB2312" w:hAnsiTheme="minorEastAsia" w:cstheme="minorEastAsia"/>
          <w:color w:val="auto"/>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（七）</w:t>
      </w:r>
      <w:r>
        <w:rPr>
          <w:rFonts w:hint="eastAsia" w:ascii="仿宋_GB2312" w:eastAsia="仿宋_GB2312" w:hAnsiTheme="minorEastAsia" w:cstheme="minorEastAsia"/>
          <w:color w:val="auto"/>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（八）</w:t>
      </w:r>
      <w:r>
        <w:rPr>
          <w:rFonts w:hint="eastAsia" w:ascii="仿宋_GB2312" w:eastAsia="仿宋_GB2312" w:hAnsiTheme="minorEastAsia" w:cstheme="minorEastAsia"/>
          <w:color w:val="auto"/>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（九）</w:t>
      </w:r>
      <w:r>
        <w:rPr>
          <w:rFonts w:hint="eastAsia" w:ascii="仿宋_GB2312" w:eastAsia="仿宋_GB2312" w:hAnsiTheme="minorEastAsia" w:cstheme="minorEastAsia"/>
          <w:color w:val="auto"/>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（十）</w:t>
      </w:r>
      <w:r>
        <w:rPr>
          <w:rFonts w:hint="eastAsia" w:ascii="仿宋_GB2312" w:eastAsia="仿宋_GB2312" w:hAnsiTheme="minorEastAsia" w:cstheme="minorEastAsia"/>
          <w:color w:val="auto"/>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十一</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十二</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十三</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十四</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十五</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十六</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十七</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eastAsia="zh-CN"/>
        </w:rPr>
        <w:t>七、国有</w:t>
      </w:r>
      <w:r>
        <w:rPr>
          <w:rFonts w:hint="eastAsia" w:ascii="楷体" w:hAnsi="楷体" w:eastAsia="楷体" w:cstheme="minorEastAsia"/>
          <w:b w:val="0"/>
          <w:bCs/>
          <w:color w:val="auto"/>
          <w:sz w:val="32"/>
          <w:szCs w:val="32"/>
          <w:lang w:val="en-US" w:eastAsia="zh-CN"/>
        </w:rPr>
        <w:t>资产占用情况说明</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截至2021年12月31日，本单位资产总额 1113.27万元，其中流动资产257.95万元，固定资产 991.03万元，在建工程 0万元，无形资产 208.51万元。固定资产当中，房屋构筑物921.51 万元，汽车 0辆 0万元，单价200万元以上大型设备价</w:t>
      </w:r>
      <w:bookmarkStart w:id="0" w:name="_GoBack"/>
      <w:bookmarkEnd w:id="0"/>
      <w:r>
        <w:rPr>
          <w:rFonts w:hint="eastAsia" w:ascii="仿宋_GB2312" w:hAnsi="仿宋_GB2312" w:eastAsia="仿宋_GB2312" w:cs="仿宋_GB2312"/>
          <w:color w:val="auto"/>
          <w:kern w:val="2"/>
          <w:sz w:val="28"/>
          <w:szCs w:val="28"/>
          <w:lang w:val="en-US" w:eastAsia="zh-CN" w:bidi="ar-SA"/>
        </w:rPr>
        <w:t>值  0万元，其他固定资产 69.52万元。  </w:t>
      </w:r>
    </w:p>
    <w:p>
      <w:pPr>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与上年相比，本年资产总额减少30.13万元。</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八、重点项目预算的绩效目标等预算绩效情况说明</w:t>
      </w:r>
    </w:p>
    <w:p>
      <w:pPr>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28"/>
          <w:szCs w:val="28"/>
          <w:lang w:val="en-US" w:eastAsia="zh-CN" w:bidi="ar-SA"/>
        </w:rPr>
        <w:t xml:space="preserve">我单位本年度项目支出570万元，其中：无重点项目支出预算，无此项说明。 </w:t>
      </w:r>
      <w:r>
        <w:rPr>
          <w:rFonts w:hint="eastAsia" w:ascii="仿宋_GB2312" w:hAnsi="仿宋_GB2312" w:eastAsia="仿宋_GB2312" w:cs="仿宋_GB2312"/>
          <w:color w:val="auto"/>
          <w:sz w:val="32"/>
          <w:szCs w:val="32"/>
        </w:rPr>
        <w:t xml:space="preserve"> </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val="en-US" w:eastAsia="zh-CN"/>
        </w:rPr>
        <w:t>九、</w:t>
      </w:r>
      <w:r>
        <w:rPr>
          <w:rFonts w:hint="eastAsia" w:ascii="楷体" w:hAnsi="楷体" w:eastAsia="楷体" w:cstheme="minorEastAsia"/>
          <w:b w:val="0"/>
          <w:bCs/>
          <w:color w:val="auto"/>
          <w:sz w:val="32"/>
          <w:szCs w:val="32"/>
        </w:rPr>
        <w:t>一般公共预算“三公”经费支出</w:t>
      </w:r>
      <w:r>
        <w:rPr>
          <w:rFonts w:hint="eastAsia" w:ascii="楷体" w:hAnsi="楷体" w:eastAsia="楷体" w:cstheme="minorEastAsia"/>
          <w:b w:val="0"/>
          <w:bCs/>
          <w:color w:val="auto"/>
          <w:sz w:val="32"/>
          <w:szCs w:val="32"/>
          <w:lang w:eastAsia="zh-CN"/>
        </w:rPr>
        <w:t>增减变化原因等说明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22</w:t>
      </w:r>
      <w:r>
        <w:rPr>
          <w:rFonts w:hint="eastAsia" w:ascii="仿宋_GB2312" w:eastAsia="仿宋_GB2312" w:hAnsiTheme="minorEastAsia" w:cstheme="minorEastAsia"/>
          <w:color w:val="auto"/>
          <w:sz w:val="32"/>
          <w:szCs w:val="32"/>
        </w:rPr>
        <w:t>年度一般公共预算“三公”经费预算数为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较20</w:t>
      </w:r>
      <w:r>
        <w:rPr>
          <w:rFonts w:hint="eastAsia" w:ascii="仿宋_GB2312" w:eastAsia="仿宋_GB2312" w:hAnsiTheme="minorEastAsia" w:cstheme="minorEastAsia"/>
          <w:color w:val="auto"/>
          <w:sz w:val="32"/>
          <w:szCs w:val="32"/>
          <w:lang w:val="en-US" w:eastAsia="zh-CN"/>
        </w:rPr>
        <w:t>22</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 xml:space="preserve">0 </w:t>
      </w:r>
      <w:r>
        <w:rPr>
          <w:rFonts w:hint="eastAsia" w:ascii="仿宋_GB2312" w:eastAsia="仿宋_GB2312" w:hAnsiTheme="minorEastAsia" w:cstheme="minorEastAsia"/>
          <w:color w:val="auto"/>
          <w:sz w:val="32"/>
          <w:szCs w:val="32"/>
        </w:rPr>
        <w:t>%，其中：</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较20</w:t>
      </w:r>
      <w:r>
        <w:rPr>
          <w:rFonts w:hint="eastAsia" w:ascii="仿宋_GB2312" w:eastAsia="仿宋_GB2312" w:hAnsiTheme="minorEastAsia" w:cstheme="minorEastAsia"/>
          <w:color w:val="auto"/>
          <w:sz w:val="32"/>
          <w:szCs w:val="32"/>
          <w:lang w:val="en-US" w:eastAsia="zh-CN"/>
        </w:rPr>
        <w:t>20</w:t>
      </w:r>
      <w:r>
        <w:rPr>
          <w:rFonts w:hint="eastAsia" w:ascii="仿宋_GB2312" w:eastAsia="仿宋_GB2312" w:hAnsiTheme="minorEastAsia" w:cstheme="minorEastAsia"/>
          <w:color w:val="auto"/>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万元，较</w:t>
      </w:r>
      <w:r>
        <w:rPr>
          <w:rFonts w:hint="eastAsia" w:ascii="仿宋_GB2312" w:eastAsia="仿宋_GB2312" w:hAnsiTheme="minorEastAsia" w:cstheme="minorEastAsia"/>
          <w:color w:val="auto"/>
          <w:sz w:val="32"/>
          <w:szCs w:val="32"/>
          <w:lang w:val="en-US" w:eastAsia="zh-CN"/>
        </w:rPr>
        <w:t>2020</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%。主要原因是：专项活动减少。</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auto"/>
          <w:sz w:val="32"/>
          <w:szCs w:val="32"/>
          <w:lang w:val="en-US" w:eastAsia="zh-CN"/>
        </w:rPr>
        <w:t>0批次，共0人。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（三）公务用车购置及运行维护费支出0万元，其中公务用车购置年初预算数为0万元，较201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年增加（减少）0万元，增长（下降）0%；公务用车运行维护费支出年初预算数为0万元，较20</w:t>
      </w:r>
      <w:r>
        <w:rPr>
          <w:rFonts w:hint="eastAsia" w:ascii="仿宋_GB2312" w:eastAsia="仿宋_GB2312" w:hAnsiTheme="minorEastAsia" w:cstheme="minorEastAsia"/>
          <w:color w:val="auto"/>
          <w:sz w:val="32"/>
          <w:szCs w:val="32"/>
          <w:lang w:val="en-US" w:eastAsia="zh-CN"/>
        </w:rPr>
        <w:t>20</w:t>
      </w:r>
      <w:r>
        <w:rPr>
          <w:rFonts w:hint="eastAsia" w:ascii="仿宋_GB2312" w:eastAsia="仿宋_GB2312" w:hAnsiTheme="minorEastAsia" w:cstheme="minorEastAsia"/>
          <w:color w:val="auto"/>
          <w:sz w:val="32"/>
          <w:szCs w:val="32"/>
        </w:rPr>
        <w:t>年增加（减少）0万元，增长（下降）0%。</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0辆，公务用车保有量0辆。</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十、政府性基金预算支出预算情况说明</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（反映部门年度政府性基金支出预算安排情况。政府性基金支出安排数应与《部门收支预算总表》的政府性基金收入数一致，并按照政府收支分类科目的功能分类“项”级细化列示。）</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 w:hAnsi="仿宋" w:eastAsia="仿宋" w:cs="仿宋_GB2312"/>
          <w:color w:val="auto"/>
          <w:kern w:val="2"/>
          <w:sz w:val="32"/>
          <w:szCs w:val="32"/>
          <w:lang w:val="en-US" w:eastAsia="zh-CN" w:bidi="ar"/>
        </w:rPr>
        <w:t>襄垣县供销合作社联合社</w:t>
      </w:r>
      <w:r>
        <w:rPr>
          <w:rFonts w:hint="eastAsia" w:ascii="仿宋_GB2312" w:eastAsia="仿宋_GB2312" w:hAnsiTheme="minorEastAsia" w:cstheme="minorEastAsia"/>
          <w:color w:val="auto"/>
          <w:sz w:val="32"/>
          <w:szCs w:val="32"/>
        </w:rPr>
        <w:t>20</w:t>
      </w:r>
      <w:r>
        <w:rPr>
          <w:rFonts w:hint="eastAsia" w:ascii="仿宋_GB2312" w:eastAsia="仿宋_GB2312" w:hAnsiTheme="minorEastAsia" w:cstheme="minorEastAsia"/>
          <w:color w:val="auto"/>
          <w:sz w:val="32"/>
          <w:szCs w:val="32"/>
          <w:lang w:val="en-US" w:eastAsia="zh-CN"/>
        </w:rPr>
        <w:t>21</w:t>
      </w:r>
      <w:r>
        <w:rPr>
          <w:rFonts w:hint="eastAsia" w:ascii="仿宋_GB2312" w:eastAsia="仿宋_GB2312" w:hAnsiTheme="minorEastAsia" w:cstheme="minorEastAsia"/>
          <w:color w:val="auto"/>
          <w:sz w:val="32"/>
          <w:szCs w:val="32"/>
        </w:rPr>
        <w:t>年政府性基金支出预算</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eastAsia="zh-CN"/>
        </w:rPr>
        <w:t>本单位本年度无此项预算，故无此项说明。</w:t>
      </w:r>
    </w:p>
    <w:p>
      <w:pPr>
        <w:ind w:firstLine="640" w:firstLineChars="200"/>
        <w:rPr>
          <w:rFonts w:asciiTheme="minorEastAsia" w:hAnsiTheme="minorEastAsia" w:cstheme="minorEastAsia"/>
          <w:color w:val="auto"/>
          <w:sz w:val="32"/>
          <w:szCs w:val="32"/>
        </w:rPr>
      </w:pPr>
    </w:p>
    <w:p>
      <w:pPr>
        <w:ind w:firstLine="640" w:firstLineChars="200"/>
        <w:rPr>
          <w:rFonts w:asciiTheme="minorEastAsia" w:hAnsiTheme="minorEastAsia" w:cstheme="minorEastAsia"/>
          <w:color w:val="auto"/>
          <w:sz w:val="32"/>
          <w:szCs w:val="32"/>
        </w:rPr>
      </w:pPr>
    </w:p>
    <w:p>
      <w:pPr>
        <w:rPr>
          <w:color w:val="auto"/>
        </w:rPr>
      </w:pPr>
    </w:p>
    <w:p>
      <w:pPr>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209E0EC3"/>
    <w:rsid w:val="22140CC1"/>
    <w:rsid w:val="24D63713"/>
    <w:rsid w:val="2A937DAC"/>
    <w:rsid w:val="2DB60033"/>
    <w:rsid w:val="2F754CA8"/>
    <w:rsid w:val="2FB928F6"/>
    <w:rsid w:val="33D91C17"/>
    <w:rsid w:val="341824CB"/>
    <w:rsid w:val="343F3937"/>
    <w:rsid w:val="34D53928"/>
    <w:rsid w:val="37015ED3"/>
    <w:rsid w:val="39E01B38"/>
    <w:rsid w:val="3F5C42DA"/>
    <w:rsid w:val="416E6FCE"/>
    <w:rsid w:val="41EE06AB"/>
    <w:rsid w:val="43AE692A"/>
    <w:rsid w:val="43E475B8"/>
    <w:rsid w:val="44464920"/>
    <w:rsid w:val="458B37F5"/>
    <w:rsid w:val="467D2DBE"/>
    <w:rsid w:val="46813D67"/>
    <w:rsid w:val="48832669"/>
    <w:rsid w:val="48E87EB6"/>
    <w:rsid w:val="499D7C0F"/>
    <w:rsid w:val="4A4F3891"/>
    <w:rsid w:val="4AFA4BB2"/>
    <w:rsid w:val="4D9B3CEE"/>
    <w:rsid w:val="4EBA5260"/>
    <w:rsid w:val="522F50B0"/>
    <w:rsid w:val="52567629"/>
    <w:rsid w:val="52D54DBE"/>
    <w:rsid w:val="551254B3"/>
    <w:rsid w:val="582B68F4"/>
    <w:rsid w:val="5D083F24"/>
    <w:rsid w:val="5D306324"/>
    <w:rsid w:val="60860A87"/>
    <w:rsid w:val="60B46440"/>
    <w:rsid w:val="615250FF"/>
    <w:rsid w:val="61C6166E"/>
    <w:rsid w:val="635C762A"/>
    <w:rsid w:val="670C00FF"/>
    <w:rsid w:val="6DA8138B"/>
    <w:rsid w:val="6EA13F6B"/>
    <w:rsid w:val="6FD93AE0"/>
    <w:rsid w:val="71FC58C7"/>
    <w:rsid w:val="7249546B"/>
    <w:rsid w:val="729F0AAD"/>
    <w:rsid w:val="7310016F"/>
    <w:rsid w:val="762117B4"/>
    <w:rsid w:val="793A503F"/>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30</TotalTime>
  <ScaleCrop>false</ScaleCrop>
  <LinksUpToDate>false</LinksUpToDate>
  <CharactersWithSpaces>3878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2022-03-17T01:42:34Z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848DC8A44CDE4E3D91B4FB304B6FEB6D</vt:lpwstr>
  </property>
</Properties>
</file>