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sz w:val="44"/>
          <w:szCs w:val="44"/>
          <w:lang w:eastAsia="zh-CN"/>
        </w:rPr>
      </w:pPr>
    </w:p>
    <w:p>
      <w:pPr>
        <w:jc w:val="center"/>
        <w:rPr>
          <w:rFonts w:ascii="黑体" w:hAnsi="黑体" w:eastAsia="黑体" w:cstheme="minorEastAsia"/>
          <w:sz w:val="44"/>
          <w:szCs w:val="44"/>
        </w:rPr>
      </w:pPr>
      <w:r>
        <w:rPr>
          <w:rFonts w:hint="eastAsia" w:ascii="黑体" w:hAnsi="黑体" w:eastAsia="黑体" w:cstheme="minorEastAsia"/>
          <w:sz w:val="44"/>
          <w:szCs w:val="44"/>
          <w:lang w:eastAsia="zh-CN"/>
        </w:rPr>
        <w:t>襄垣</w:t>
      </w:r>
      <w:r>
        <w:rPr>
          <w:rFonts w:hint="eastAsia" w:ascii="黑体" w:hAnsi="黑体" w:eastAsia="黑体" w:cstheme="minorEastAsia"/>
          <w:sz w:val="44"/>
          <w:szCs w:val="44"/>
        </w:rPr>
        <w:t>县</w:t>
      </w:r>
      <w:r>
        <w:rPr>
          <w:rFonts w:hint="eastAsia" w:ascii="Arial" w:hAnsi="Arial" w:eastAsia="黑体" w:cs="Arial"/>
          <w:sz w:val="44"/>
          <w:szCs w:val="44"/>
          <w:lang w:val="en-US" w:eastAsia="zh-CN"/>
        </w:rPr>
        <w:t>泰瑞达供热有限公司</w:t>
      </w:r>
      <w:r>
        <w:rPr>
          <w:rFonts w:hint="eastAsia" w:ascii="黑体" w:hAnsi="黑体" w:eastAsia="黑体" w:cstheme="minorEastAsia"/>
          <w:sz w:val="44"/>
          <w:szCs w:val="44"/>
        </w:rPr>
        <w:t>20</w:t>
      </w:r>
      <w:r>
        <w:rPr>
          <w:rFonts w:hint="eastAsia" w:ascii="黑体" w:hAnsi="黑体" w:eastAsia="黑体" w:cstheme="minorEastAsia"/>
          <w:sz w:val="44"/>
          <w:szCs w:val="44"/>
          <w:lang w:val="en-US" w:eastAsia="zh-CN"/>
        </w:rPr>
        <w:t>22</w:t>
      </w:r>
      <w:r>
        <w:rPr>
          <w:rFonts w:hint="eastAsia" w:ascii="黑体" w:hAnsi="黑体" w:eastAsia="黑体" w:cstheme="minorEastAsia"/>
          <w:sz w:val="44"/>
          <w:szCs w:val="44"/>
        </w:rPr>
        <w:t>年部门</w:t>
      </w:r>
      <w:r>
        <w:rPr>
          <w:rFonts w:hint="eastAsia" w:ascii="黑体" w:hAnsi="黑体" w:eastAsia="黑体" w:cstheme="minorEastAsia"/>
          <w:sz w:val="44"/>
          <w:szCs w:val="44"/>
          <w:lang w:eastAsia="zh-CN"/>
        </w:rPr>
        <w:t>预算</w:t>
      </w:r>
      <w:r>
        <w:rPr>
          <w:rFonts w:hint="eastAsia" w:ascii="黑体" w:hAnsi="黑体" w:eastAsia="黑体" w:cstheme="minorEastAsia"/>
          <w:sz w:val="44"/>
          <w:szCs w:val="44"/>
        </w:rPr>
        <w:t>公开</w:t>
      </w:r>
      <w:r>
        <w:rPr>
          <w:rFonts w:hint="eastAsia" w:ascii="黑体" w:hAnsi="黑体" w:eastAsia="黑体" w:cstheme="minorEastAsia"/>
          <w:sz w:val="44"/>
          <w:szCs w:val="44"/>
          <w:lang w:eastAsia="zh-CN"/>
        </w:rPr>
        <w:t>情况</w:t>
      </w:r>
      <w:r>
        <w:rPr>
          <w:rFonts w:hint="eastAsia" w:ascii="黑体" w:hAnsi="黑体" w:eastAsia="黑体" w:cstheme="minorEastAsia"/>
          <w:sz w:val="44"/>
          <w:szCs w:val="44"/>
        </w:rPr>
        <w:t>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3" w:firstLineChars="200"/>
        <w:rPr>
          <w:rFonts w:hint="eastAsia" w:ascii="楷体" w:hAnsi="楷体" w:eastAsia="楷体" w:cstheme="minorEastAsia"/>
          <w:b/>
          <w:bCs w:val="0"/>
          <w:sz w:val="32"/>
          <w:szCs w:val="32"/>
        </w:rPr>
      </w:pPr>
      <w:r>
        <w:rPr>
          <w:rFonts w:hint="eastAsia" w:ascii="楷体" w:hAnsi="楷体" w:eastAsia="楷体" w:cstheme="minorEastAsia"/>
          <w:b/>
          <w:bCs w:val="0"/>
          <w:sz w:val="32"/>
          <w:szCs w:val="32"/>
        </w:rPr>
        <w:t>一、部门主要职能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襄垣县泰瑞达供热有限公司是2008年注册成立的市政运营企业，集中调度中心位于襄垣县城内开元西街。公司主要职责是负责襄垣县集中供热工程的建设、生产运行管理及取暖费的收缴等工作。</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keepNext w:val="0"/>
        <w:keepLines w:val="0"/>
        <w:pageBreakBefore w:val="0"/>
        <w:widowControl w:val="0"/>
        <w:kinsoku/>
        <w:wordWrap/>
        <w:overflowPunct/>
        <w:topLinePunct w:val="0"/>
        <w:autoSpaceDE/>
        <w:autoSpaceDN/>
        <w:bidi w:val="0"/>
        <w:snapToGrid/>
        <w:spacing w:line="360" w:lineRule="auto"/>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公司内设工会、办公室、财务科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人事科、经营科、安</w:t>
      </w:r>
      <w:r>
        <w:rPr>
          <w:rFonts w:hint="eastAsia" w:ascii="仿宋_GB2312" w:hAnsi="仿宋_GB2312" w:eastAsia="仿宋_GB2312" w:cs="仿宋_GB2312"/>
          <w:color w:val="auto"/>
          <w:sz w:val="32"/>
          <w:szCs w:val="32"/>
        </w:rPr>
        <w:t>全科、法制科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材料科、管网科、技术科、稽查队、抢修队、</w:t>
      </w:r>
      <w:r>
        <w:rPr>
          <w:rFonts w:hint="eastAsia" w:ascii="仿宋_GB2312" w:hAnsi="仿宋_GB2312" w:eastAsia="仿宋_GB2312" w:cs="仿宋_GB2312"/>
          <w:color w:val="auto"/>
          <w:sz w:val="32"/>
          <w:szCs w:val="32"/>
          <w:lang w:val="en-US" w:eastAsia="zh-CN"/>
        </w:rPr>
        <w:t>化验科、</w:t>
      </w:r>
      <w:r>
        <w:rPr>
          <w:rFonts w:hint="eastAsia" w:ascii="仿宋_GB2312" w:hAnsi="仿宋_GB2312" w:eastAsia="仿宋_GB2312" w:cs="仿宋_GB2312"/>
          <w:color w:val="auto"/>
          <w:sz w:val="32"/>
          <w:szCs w:val="32"/>
        </w:rPr>
        <w:t>两个供热首站、四个换热站区等</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个科室，职工15</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0" w:firstLineChars="200"/>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没有行政事业编制人员。</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lang w:eastAsia="zh-CN"/>
        </w:rPr>
        <w:t>三、预算收支增减变化情况说明</w:t>
      </w:r>
    </w:p>
    <w:p>
      <w:pPr>
        <w:ind w:firstLine="645"/>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襄垣县泰瑞达供热有限公司2022年度收入、支出预算总计  3360万元，与上年相比收、支预算总计减少186 万元，减少6 %。主要原因是贷款资本金减少，拨入利息减少。其中：</w:t>
      </w:r>
    </w:p>
    <w:p>
      <w:pPr>
        <w:ind w:firstLine="645"/>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（一）收入预算总计 3360万元。包括：</w:t>
      </w:r>
    </w:p>
    <w:p>
      <w:pPr>
        <w:ind w:firstLine="645"/>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1．财政拨款收入预算总计3360万元。</w:t>
      </w:r>
    </w:p>
    <w:p>
      <w:pPr>
        <w:ind w:firstLine="645"/>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（1）一般公共预算收入预算 3360万元，与上年相比减少254万元，减少8 %。主要原因是贷款资本金减少，拨付利息减少。</w:t>
      </w:r>
    </w:p>
    <w:p>
      <w:pPr>
        <w:ind w:firstLine="645"/>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（二）支出预算总计3360万元。包括：</w:t>
      </w:r>
    </w:p>
    <w:p>
      <w:pPr>
        <w:ind w:firstLine="645"/>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1．一般公共服务（类）支出 3360万元，主要用于二线贷款本金利息归还。与上年相比减少 186万元，减少6 %。主要原因是贷款本金减少，拨付利息减少。</w:t>
      </w:r>
    </w:p>
    <w:p>
      <w:pPr>
        <w:ind w:firstLine="640" w:firstLineChars="200"/>
        <w:rPr>
          <w:rFonts w:hint="eastAsia" w:ascii="楷体" w:hAnsi="楷体" w:eastAsia="楷体" w:cstheme="minorEastAsia"/>
          <w:b w:val="0"/>
          <w:bCs/>
          <w:sz w:val="32"/>
          <w:szCs w:val="32"/>
        </w:rPr>
      </w:pPr>
      <w:r>
        <w:rPr>
          <w:rFonts w:hint="eastAsia" w:ascii="仿宋_GB2312" w:eastAsia="仿宋_GB2312" w:hAnsiTheme="minorEastAsia" w:cstheme="minorEastAsia"/>
          <w:color w:val="auto"/>
          <w:sz w:val="32"/>
          <w:szCs w:val="32"/>
          <w:lang w:val="en-US" w:eastAsia="zh-CN"/>
        </w:rPr>
        <w:t>四</w:t>
      </w:r>
      <w:r>
        <w:rPr>
          <w:rFonts w:hint="eastAsia" w:ascii="仿宋_GB2312" w:eastAsia="仿宋_GB2312" w:hAnsiTheme="minorEastAsia" w:cstheme="minorEastAsia"/>
          <w:color w:val="auto"/>
          <w:sz w:val="32"/>
          <w:szCs w:val="32"/>
          <w:lang w:eastAsia="zh-CN"/>
        </w:rPr>
        <w:t>、</w:t>
      </w:r>
      <w:r>
        <w:rPr>
          <w:rFonts w:hint="eastAsia" w:ascii="楷体" w:hAnsi="楷体" w:eastAsia="楷体" w:cstheme="minorEastAsia"/>
          <w:b w:val="0"/>
          <w:bCs/>
          <w:sz w:val="32"/>
          <w:szCs w:val="32"/>
        </w:rPr>
        <w:t>政府采购</w:t>
      </w:r>
      <w:r>
        <w:rPr>
          <w:rFonts w:hint="eastAsia" w:ascii="楷体" w:hAnsi="楷体" w:eastAsia="楷体" w:cstheme="minorEastAsia"/>
          <w:b w:val="0"/>
          <w:bCs/>
          <w:sz w:val="32"/>
          <w:szCs w:val="32"/>
          <w:lang w:eastAsia="zh-CN"/>
        </w:rPr>
        <w:t>安排</w:t>
      </w:r>
      <w:r>
        <w:rPr>
          <w:rFonts w:hint="eastAsia" w:ascii="楷体" w:hAnsi="楷体" w:eastAsia="楷体" w:cstheme="minorEastAsia"/>
          <w:b w:val="0"/>
          <w:bCs/>
          <w:sz w:val="32"/>
          <w:szCs w:val="32"/>
        </w:rPr>
        <w:t>情况说明</w:t>
      </w:r>
    </w:p>
    <w:p>
      <w:pPr>
        <w:numPr>
          <w:ilvl w:val="0"/>
          <w:numId w:val="0"/>
        </w:num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5B9BD5" w:themeColor="accent1"/>
          <w:sz w:val="32"/>
          <w:szCs w:val="32"/>
          <w14:textFill>
            <w14:solidFill>
              <w14:schemeClr w14:val="accent1"/>
            </w14:solidFill>
          </w14:textFill>
        </w:rPr>
        <w:t>本部门20</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22</w:t>
      </w:r>
      <w:bookmarkStart w:id="0" w:name="_GoBack"/>
      <w:bookmarkEnd w:id="0"/>
      <w:r>
        <w:rPr>
          <w:rFonts w:hint="eastAsia" w:ascii="仿宋_GB2312" w:eastAsia="仿宋_GB2312" w:hAnsiTheme="minorEastAsia" w:cstheme="minorEastAsia"/>
          <w:color w:val="5B9BD5" w:themeColor="accent1"/>
          <w:sz w:val="32"/>
          <w:szCs w:val="32"/>
          <w14:textFill>
            <w14:solidFill>
              <w14:schemeClr w14:val="accent1"/>
            </w14:solidFill>
          </w14:textFill>
        </w:rPr>
        <w:t>年度政府采购</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安排</w:t>
      </w:r>
      <w:r>
        <w:rPr>
          <w:rFonts w:hint="eastAsia" w:ascii="仿宋_GB2312" w:eastAsia="仿宋_GB2312" w:hAnsiTheme="minorEastAsia" w:cstheme="minorEastAsia"/>
          <w:color w:val="5B9BD5" w:themeColor="accent1"/>
          <w:sz w:val="32"/>
          <w:szCs w:val="32"/>
          <w14:textFill>
            <w14:solidFill>
              <w14:schemeClr w14:val="accent1"/>
            </w14:solidFill>
          </w14:textFill>
        </w:rPr>
        <w:t>0万元，其中：政府采购货物支出0万元、政府采购工程支出0万元、政府采购服务支出0万元。授予中小企业合同金额0万元，占政府采购支出总额的0%。</w:t>
      </w:r>
    </w:p>
    <w:p>
      <w:p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sz w:val="32"/>
          <w:szCs w:val="32"/>
          <w:lang w:val="en-US" w:eastAsia="zh-CN"/>
        </w:rPr>
        <w:t>五</w:t>
      </w:r>
      <w:r>
        <w:rPr>
          <w:rFonts w:hint="eastAsia" w:ascii="楷体" w:hAnsi="楷体" w:eastAsia="楷体" w:cstheme="minorEastAsia"/>
          <w:b w:val="0"/>
          <w:bCs/>
          <w:sz w:val="32"/>
          <w:szCs w:val="32"/>
        </w:rPr>
        <w:t>、</w:t>
      </w:r>
      <w:r>
        <w:rPr>
          <w:rFonts w:hint="eastAsia" w:ascii="楷体" w:hAnsi="楷体" w:eastAsia="楷体" w:cstheme="minorEastAsia"/>
          <w:b w:val="0"/>
          <w:bCs/>
          <w:sz w:val="32"/>
          <w:szCs w:val="32"/>
          <w:lang w:eastAsia="zh-CN"/>
        </w:rPr>
        <w:t>对专业性较强的名词进行解释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（一）</w:t>
      </w:r>
      <w:r>
        <w:rPr>
          <w:rFonts w:hint="eastAsia" w:ascii="仿宋_GB2312" w:eastAsia="仿宋_GB2312" w:hAnsiTheme="minorEastAsia" w:cstheme="minorEastAsia"/>
          <w:sz w:val="32"/>
          <w:szCs w:val="32"/>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（二）</w:t>
      </w:r>
      <w:r>
        <w:rPr>
          <w:rFonts w:hint="eastAsia" w:ascii="仿宋_GB2312" w:eastAsia="仿宋_GB2312" w:hAnsiTheme="minorEastAsia" w:cstheme="minorEastAsia"/>
          <w:sz w:val="32"/>
          <w:szCs w:val="32"/>
        </w:rPr>
        <w:t>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（三）</w:t>
      </w:r>
      <w:r>
        <w:rPr>
          <w:rFonts w:hint="eastAsia" w:ascii="仿宋_GB2312" w:eastAsia="仿宋_GB2312" w:hAnsiTheme="minorEastAsia" w:cstheme="minorEastAsia"/>
          <w:sz w:val="32"/>
          <w:szCs w:val="32"/>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（四）</w:t>
      </w:r>
      <w:r>
        <w:rPr>
          <w:rFonts w:hint="eastAsia" w:ascii="仿宋_GB2312" w:eastAsia="仿宋_GB2312" w:hAnsiTheme="minorEastAsia" w:cstheme="minorEastAsia"/>
          <w:sz w:val="32"/>
          <w:szCs w:val="32"/>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sz w:val="32"/>
          <w:szCs w:val="32"/>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（九）</w:t>
      </w:r>
      <w:r>
        <w:rPr>
          <w:rFonts w:hint="eastAsia" w:ascii="仿宋_GB2312" w:eastAsia="仿宋_GB2312" w:hAnsiTheme="minorEastAsia" w:cstheme="minorEastAsia"/>
          <w:sz w:val="32"/>
          <w:szCs w:val="32"/>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（十）</w:t>
      </w:r>
      <w:r>
        <w:rPr>
          <w:rFonts w:hint="eastAsia" w:ascii="仿宋_GB2312" w:eastAsia="仿宋_GB2312" w:hAnsiTheme="minorEastAsia" w:cstheme="minorEastAsia"/>
          <w:sz w:val="32"/>
          <w:szCs w:val="32"/>
        </w:rPr>
        <w:t>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十一</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十二</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十三</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十四</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十五</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十六</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十七</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hint="eastAsia" w:ascii="楷体" w:hAnsi="楷体" w:eastAsia="楷体" w:cstheme="minorEastAsia"/>
          <w:b w:val="0"/>
          <w:bCs/>
          <w:sz w:val="32"/>
          <w:szCs w:val="32"/>
          <w:lang w:val="en-US" w:eastAsia="zh-CN"/>
        </w:rPr>
      </w:pPr>
      <w:r>
        <w:rPr>
          <w:rFonts w:hint="eastAsia" w:ascii="楷体" w:hAnsi="楷体" w:eastAsia="楷体" w:cstheme="minorEastAsia"/>
          <w:b w:val="0"/>
          <w:bCs/>
          <w:sz w:val="32"/>
          <w:szCs w:val="32"/>
          <w:lang w:eastAsia="zh-CN"/>
        </w:rPr>
        <w:t>七、国有</w:t>
      </w:r>
      <w:r>
        <w:rPr>
          <w:rFonts w:hint="eastAsia" w:ascii="楷体" w:hAnsi="楷体" w:eastAsia="楷体" w:cstheme="minorEastAsia"/>
          <w:b w:val="0"/>
          <w:bCs/>
          <w:sz w:val="32"/>
          <w:szCs w:val="32"/>
          <w:lang w:val="en-US" w:eastAsia="zh-CN"/>
        </w:rPr>
        <w:t>资产占用情况说明</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截</w:t>
      </w:r>
      <w:r>
        <w:rPr>
          <w:rFonts w:hint="eastAsia" w:ascii="仿宋_GB2312" w:hAnsi="仿宋_GB2312" w:eastAsia="仿宋_GB2312" w:cs="仿宋_GB2312"/>
          <w:color w:val="auto"/>
          <w:sz w:val="32"/>
          <w:szCs w:val="32"/>
          <w:shd w:val="clear" w:color="auto" w:fill="FFFFFF"/>
          <w:lang w:val="en-US" w:eastAsia="zh-CN"/>
        </w:rPr>
        <w:t>至</w:t>
      </w:r>
      <w:r>
        <w:rPr>
          <w:rFonts w:hint="eastAsia" w:ascii="仿宋_GB2312" w:hAnsi="仿宋_GB2312" w:eastAsia="仿宋_GB2312" w:cs="仿宋_GB2312"/>
          <w:color w:val="auto"/>
          <w:sz w:val="32"/>
          <w:szCs w:val="32"/>
          <w:shd w:val="clear" w:color="auto" w:fill="FFFFFF"/>
        </w:rPr>
        <w:t>20</w:t>
      </w:r>
      <w:r>
        <w:rPr>
          <w:rFonts w:hint="eastAsia" w:ascii="仿宋_GB2312" w:hAnsi="仿宋_GB2312" w:eastAsia="仿宋_GB2312" w:cs="仿宋_GB2312"/>
          <w:color w:val="auto"/>
          <w:sz w:val="32"/>
          <w:szCs w:val="32"/>
          <w:shd w:val="clear" w:color="auto" w:fill="FFFFFF"/>
          <w:lang w:val="en-US" w:eastAsia="zh-CN"/>
        </w:rPr>
        <w:t>21</w:t>
      </w:r>
      <w:r>
        <w:rPr>
          <w:rFonts w:hint="eastAsia" w:ascii="仿宋_GB2312" w:hAnsi="仿宋_GB2312" w:eastAsia="仿宋_GB2312" w:cs="仿宋_GB2312"/>
          <w:color w:val="auto"/>
          <w:sz w:val="32"/>
          <w:szCs w:val="32"/>
          <w:shd w:val="clear" w:color="auto" w:fill="FFFFFF"/>
        </w:rPr>
        <w:t>年12月31日，</w:t>
      </w:r>
      <w:r>
        <w:rPr>
          <w:rFonts w:hint="eastAsia" w:ascii="仿宋_GB2312" w:hAnsi="仿宋_GB2312" w:eastAsia="仿宋_GB2312" w:cs="仿宋_GB2312"/>
          <w:color w:val="auto"/>
          <w:sz w:val="32"/>
          <w:szCs w:val="32"/>
          <w:shd w:val="clear" w:color="auto" w:fill="FFFFFF"/>
          <w:lang w:eastAsia="zh-CN"/>
        </w:rPr>
        <w:t>本单位</w:t>
      </w:r>
      <w:r>
        <w:rPr>
          <w:rFonts w:hint="eastAsia" w:ascii="仿宋_GB2312" w:hAnsi="仿宋_GB2312" w:eastAsia="仿宋_GB2312" w:cs="仿宋_GB2312"/>
          <w:color w:val="auto"/>
          <w:sz w:val="32"/>
          <w:szCs w:val="32"/>
          <w:shd w:val="clear" w:color="auto" w:fill="FFFFFF"/>
        </w:rPr>
        <w:t>资产总额</w:t>
      </w:r>
      <w:r>
        <w:rPr>
          <w:rFonts w:hint="eastAsia" w:ascii="仿宋_GB2312" w:hAnsi="仿宋_GB2312" w:eastAsia="仿宋_GB2312" w:cs="仿宋_GB2312"/>
          <w:color w:val="auto"/>
          <w:sz w:val="32"/>
          <w:szCs w:val="32"/>
          <w:shd w:val="clear" w:color="auto" w:fill="FFFFFF"/>
          <w:lang w:val="en-US" w:eastAsia="zh-CN"/>
        </w:rPr>
        <w:t xml:space="preserve"> 59522</w:t>
      </w:r>
      <w:r>
        <w:rPr>
          <w:rFonts w:hint="eastAsia" w:ascii="仿宋_GB2312" w:hAnsi="仿宋_GB2312" w:eastAsia="仿宋_GB2312" w:cs="仿宋_GB2312"/>
          <w:color w:val="auto"/>
          <w:sz w:val="32"/>
          <w:szCs w:val="32"/>
          <w:shd w:val="clear" w:color="auto" w:fill="FFFFFF"/>
        </w:rPr>
        <w:t>万元，其中流动资产</w:t>
      </w:r>
      <w:r>
        <w:rPr>
          <w:rFonts w:hint="eastAsia" w:ascii="仿宋_GB2312" w:hAnsi="仿宋_GB2312" w:eastAsia="仿宋_GB2312" w:cs="仿宋_GB2312"/>
          <w:color w:val="auto"/>
          <w:sz w:val="32"/>
          <w:szCs w:val="32"/>
          <w:shd w:val="clear" w:color="auto" w:fill="FFFFFF"/>
          <w:lang w:val="en-US" w:eastAsia="zh-CN"/>
        </w:rPr>
        <w:t>25131</w:t>
      </w:r>
      <w:r>
        <w:rPr>
          <w:rFonts w:hint="eastAsia" w:ascii="仿宋_GB2312" w:hAnsi="仿宋_GB2312" w:eastAsia="仿宋_GB2312" w:cs="仿宋_GB2312"/>
          <w:color w:val="auto"/>
          <w:sz w:val="32"/>
          <w:szCs w:val="32"/>
          <w:shd w:val="clear" w:color="auto" w:fill="FFFFFF"/>
        </w:rPr>
        <w:t>万元，固定资产</w:t>
      </w:r>
      <w:r>
        <w:rPr>
          <w:rFonts w:hint="eastAsia" w:ascii="仿宋_GB2312" w:hAnsi="仿宋_GB2312" w:eastAsia="仿宋_GB2312" w:cs="仿宋_GB2312"/>
          <w:color w:val="auto"/>
          <w:sz w:val="32"/>
          <w:szCs w:val="32"/>
          <w:shd w:val="clear" w:color="auto" w:fill="FFFFFF"/>
          <w:lang w:val="en-US" w:eastAsia="zh-CN"/>
        </w:rPr>
        <w:t>34191</w:t>
      </w:r>
      <w:r>
        <w:rPr>
          <w:rFonts w:hint="eastAsia" w:ascii="仿宋_GB2312" w:hAnsi="仿宋_GB2312" w:eastAsia="仿宋_GB2312" w:cs="仿宋_GB2312"/>
          <w:color w:val="auto"/>
          <w:sz w:val="32"/>
          <w:szCs w:val="32"/>
          <w:shd w:val="clear" w:color="auto" w:fill="FFFFFF"/>
        </w:rPr>
        <w:t>万元，在建工程</w:t>
      </w:r>
      <w:r>
        <w:rPr>
          <w:rFonts w:hint="eastAsia" w:ascii="仿宋_GB2312" w:hAnsi="仿宋_GB2312" w:eastAsia="仿宋_GB2312" w:cs="仿宋_GB2312"/>
          <w:color w:val="auto"/>
          <w:sz w:val="32"/>
          <w:szCs w:val="32"/>
          <w:shd w:val="clear" w:color="auto" w:fill="FFFFFF"/>
          <w:lang w:val="en-US" w:eastAsia="zh-CN"/>
        </w:rPr>
        <w:t xml:space="preserve"> 200</w:t>
      </w:r>
      <w:r>
        <w:rPr>
          <w:rFonts w:hint="eastAsia" w:ascii="仿宋_GB2312" w:hAnsi="仿宋_GB2312" w:eastAsia="仿宋_GB2312" w:cs="仿宋_GB2312"/>
          <w:color w:val="auto"/>
          <w:sz w:val="32"/>
          <w:szCs w:val="32"/>
          <w:shd w:val="clear" w:color="auto" w:fill="FFFFFF"/>
        </w:rPr>
        <w:t>万元，无形资产</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固定资产当中，房屋构筑物</w:t>
      </w:r>
      <w:r>
        <w:rPr>
          <w:rFonts w:hint="eastAsia" w:ascii="仿宋_GB2312" w:hAnsi="仿宋_GB2312" w:eastAsia="仿宋_GB2312" w:cs="仿宋_GB2312"/>
          <w:color w:val="auto"/>
          <w:sz w:val="32"/>
          <w:szCs w:val="32"/>
          <w:shd w:val="clear" w:color="auto" w:fill="FFFFFF"/>
          <w:lang w:val="en-US" w:eastAsia="zh-CN"/>
        </w:rPr>
        <w:t xml:space="preserve"> 32535</w:t>
      </w:r>
      <w:r>
        <w:rPr>
          <w:rFonts w:hint="eastAsia" w:ascii="仿宋_GB2312" w:hAnsi="仿宋_GB2312" w:eastAsia="仿宋_GB2312" w:cs="仿宋_GB2312"/>
          <w:color w:val="auto"/>
          <w:sz w:val="32"/>
          <w:szCs w:val="32"/>
          <w:shd w:val="clear" w:color="auto" w:fill="FFFFFF"/>
        </w:rPr>
        <w:t>万元，汽车</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辆</w:t>
      </w:r>
      <w:r>
        <w:rPr>
          <w:rFonts w:hint="eastAsia" w:ascii="仿宋_GB2312" w:hAnsi="仿宋_GB2312" w:eastAsia="仿宋_GB2312" w:cs="仿宋_GB2312"/>
          <w:color w:val="auto"/>
          <w:sz w:val="32"/>
          <w:szCs w:val="32"/>
          <w:shd w:val="clear" w:color="auto" w:fill="FFFFFF"/>
          <w:lang w:val="en-US" w:eastAsia="zh-CN"/>
        </w:rPr>
        <w:t>25</w:t>
      </w:r>
      <w:r>
        <w:rPr>
          <w:rFonts w:hint="eastAsia" w:ascii="仿宋_GB2312" w:hAnsi="仿宋_GB2312" w:eastAsia="仿宋_GB2312" w:cs="仿宋_GB2312"/>
          <w:color w:val="auto"/>
          <w:sz w:val="32"/>
          <w:szCs w:val="32"/>
          <w:shd w:val="clear" w:color="auto" w:fill="FFFFFF"/>
        </w:rPr>
        <w:t>万元，单价200万元以上大型设备价值</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万元，其他固定资产</w:t>
      </w:r>
      <w:r>
        <w:rPr>
          <w:rFonts w:hint="eastAsia" w:ascii="仿宋_GB2312" w:hAnsi="仿宋_GB2312" w:eastAsia="仿宋_GB2312" w:cs="仿宋_GB2312"/>
          <w:color w:val="auto"/>
          <w:sz w:val="32"/>
          <w:szCs w:val="32"/>
          <w:shd w:val="clear" w:color="auto" w:fill="FFFFFF"/>
          <w:lang w:val="en-US" w:eastAsia="zh-CN"/>
        </w:rPr>
        <w:t>1631</w:t>
      </w:r>
      <w:r>
        <w:rPr>
          <w:rFonts w:hint="eastAsia" w:ascii="仿宋_GB2312" w:hAnsi="仿宋_GB2312" w:eastAsia="仿宋_GB2312" w:cs="仿宋_GB2312"/>
          <w:color w:val="auto"/>
          <w:sz w:val="32"/>
          <w:szCs w:val="32"/>
          <w:shd w:val="clear" w:color="auto" w:fill="FFFFFF"/>
        </w:rPr>
        <w:t>万元。 </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与上年相比，本年资产总额增加</w:t>
      </w:r>
      <w:r>
        <w:rPr>
          <w:rFonts w:hint="eastAsia" w:ascii="仿宋_GB2312" w:hAnsi="仿宋_GB2312" w:eastAsia="仿宋_GB2312" w:cs="仿宋_GB2312"/>
          <w:color w:val="auto"/>
          <w:sz w:val="32"/>
          <w:szCs w:val="32"/>
          <w:shd w:val="clear" w:color="auto" w:fill="FFFFFF"/>
          <w:lang w:val="en-US" w:eastAsia="zh-CN"/>
        </w:rPr>
        <w:t xml:space="preserve"> -5481</w:t>
      </w:r>
      <w:r>
        <w:rPr>
          <w:rFonts w:hint="eastAsia" w:ascii="仿宋_GB2312" w:hAnsi="仿宋_GB2312" w:eastAsia="仿宋_GB2312" w:cs="仿宋_GB2312"/>
          <w:color w:val="auto"/>
          <w:sz w:val="32"/>
          <w:szCs w:val="32"/>
          <w:shd w:val="clear" w:color="auto" w:fill="FFFFFF"/>
        </w:rPr>
        <w:t>万元。 </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楷体" w:hAnsi="楷体" w:eastAsia="楷体" w:cstheme="minorEastAsia"/>
          <w:b w:val="0"/>
          <w:bCs/>
          <w:sz w:val="32"/>
          <w:szCs w:val="32"/>
          <w:lang w:val="en-US" w:eastAsia="zh-CN"/>
        </w:rPr>
      </w:pPr>
      <w:r>
        <w:rPr>
          <w:rFonts w:hint="eastAsia" w:ascii="楷体" w:hAnsi="楷体" w:eastAsia="楷体" w:cstheme="minorEastAsia"/>
          <w:b w:val="0"/>
          <w:bCs/>
          <w:sz w:val="32"/>
          <w:szCs w:val="32"/>
          <w:lang w:val="en-US" w:eastAsia="zh-CN"/>
        </w:rPr>
        <w:t>八、重点项目预算的绩效目标等预算绩效情况说明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截至2021年年底，</w:t>
      </w:r>
      <w:r>
        <w:rPr>
          <w:rFonts w:hint="eastAsia" w:ascii="仿宋_GB2312" w:hAnsi="仿宋_GB2312" w:eastAsia="仿宋_GB2312" w:cs="仿宋_GB2312"/>
          <w:color w:val="000000"/>
          <w:sz w:val="32"/>
          <w:szCs w:val="32"/>
        </w:rPr>
        <w:t>我公司共建成首站2座，换热站</w:t>
      </w:r>
      <w:r>
        <w:rPr>
          <w:rFonts w:hint="eastAsia" w:ascii="仿宋_GB2312" w:hAnsi="仿宋_GB2312" w:eastAsia="仿宋_GB2312" w:cs="仿宋_GB2312"/>
          <w:color w:val="000000"/>
          <w:sz w:val="32"/>
          <w:szCs w:val="32"/>
          <w:lang w:val="en-US" w:eastAsia="zh-CN"/>
        </w:rPr>
        <w:t>108</w:t>
      </w:r>
      <w:r>
        <w:rPr>
          <w:rFonts w:hint="eastAsia" w:ascii="仿宋_GB2312" w:hAnsi="仿宋_GB2312" w:eastAsia="仿宋_GB2312" w:cs="仿宋_GB2312"/>
          <w:color w:val="000000"/>
          <w:sz w:val="32"/>
          <w:szCs w:val="32"/>
        </w:rPr>
        <w:t>座，铺设热力管网100多千米，供热总面积达到</w:t>
      </w:r>
      <w:r>
        <w:rPr>
          <w:rFonts w:hint="eastAsia" w:ascii="仿宋_GB2312" w:hAnsi="仿宋_GB2312" w:eastAsia="仿宋_GB2312" w:cs="仿宋_GB2312"/>
          <w:color w:val="auto"/>
          <w:sz w:val="32"/>
          <w:szCs w:val="32"/>
          <w:lang w:val="en-US" w:eastAsia="zh-CN"/>
        </w:rPr>
        <w:t>731.99</w:t>
      </w:r>
      <w:r>
        <w:rPr>
          <w:rFonts w:hint="eastAsia" w:ascii="仿宋_GB2312" w:hAnsi="仿宋_GB2312" w:eastAsia="仿宋_GB2312" w:cs="仿宋_GB2312"/>
          <w:color w:val="000000"/>
          <w:sz w:val="32"/>
          <w:szCs w:val="32"/>
        </w:rPr>
        <w:t>万平方米，覆盖全县128个单位、155个集中小区、8个城中村、1个工业园区，共计3</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000多居民用户，县城供热覆盖率达到9</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%以上。</w:t>
      </w:r>
    </w:p>
    <w:p>
      <w:pPr>
        <w:ind w:firstLine="640" w:firstLineChars="200"/>
        <w:rPr>
          <w:rFonts w:hint="default" w:ascii="楷体" w:hAnsi="楷体" w:eastAsia="楷体" w:cstheme="minorEastAsia"/>
          <w:b w:val="0"/>
          <w:bCs/>
          <w:sz w:val="32"/>
          <w:szCs w:val="32"/>
          <w:lang w:val="en-US" w:eastAsia="zh-CN"/>
        </w:rPr>
      </w:pPr>
    </w:p>
    <w:p>
      <w:pPr>
        <w:ind w:firstLine="640" w:firstLineChars="200"/>
        <w:rPr>
          <w:rFonts w:hint="default" w:ascii="楷体" w:hAnsi="楷体" w:eastAsia="楷体" w:cstheme="minorEastAsia"/>
          <w:b w:val="0"/>
          <w:bCs/>
          <w:sz w:val="32"/>
          <w:szCs w:val="32"/>
          <w:lang w:val="en-US" w:eastAsia="zh-CN"/>
        </w:rPr>
      </w:pPr>
    </w:p>
    <w:p>
      <w:pPr>
        <w:numPr>
          <w:ilvl w:val="0"/>
          <w:numId w:val="1"/>
        </w:num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sz w:val="32"/>
          <w:szCs w:val="32"/>
        </w:rPr>
        <w:t>一般公共预算“三公”经费支出</w:t>
      </w:r>
      <w:r>
        <w:rPr>
          <w:rFonts w:hint="eastAsia" w:ascii="楷体" w:hAnsi="楷体" w:eastAsia="楷体" w:cstheme="minorEastAsia"/>
          <w:b w:val="0"/>
          <w:bCs/>
          <w:sz w:val="32"/>
          <w:szCs w:val="32"/>
          <w:lang w:eastAsia="zh-CN"/>
        </w:rPr>
        <w:t>增减变化原因等说明</w:t>
      </w:r>
    </w:p>
    <w:p>
      <w:pPr>
        <w:numPr>
          <w:ilvl w:val="0"/>
          <w:numId w:val="0"/>
        </w:numPr>
        <w:ind w:firstLine="640" w:firstLineChars="200"/>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pP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本单位本年度无此项预算，故无此项说明</w:t>
      </w:r>
    </w:p>
    <w:p>
      <w:pPr>
        <w:ind w:firstLine="640" w:firstLineChars="200"/>
        <w:rPr>
          <w:rFonts w:hint="eastAsia" w:ascii="楷体" w:hAnsi="楷体" w:eastAsia="楷体" w:cstheme="minorEastAsia"/>
          <w:b w:val="0"/>
          <w:bCs/>
          <w:sz w:val="32"/>
          <w:szCs w:val="32"/>
          <w:lang w:eastAsia="zh-CN"/>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十、政府性基金预算支出预算情况说明</w:t>
      </w:r>
    </w:p>
    <w:p>
      <w:pPr>
        <w:ind w:firstLine="640" w:firstLineChars="200"/>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pP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本单位本年度无此项预算，故无此项说明</w:t>
      </w:r>
    </w:p>
    <w:p>
      <w:pPr>
        <w:ind w:firstLine="640" w:firstLineChars="200"/>
        <w:rPr>
          <w:rFonts w:asciiTheme="minorEastAsia" w:hAnsiTheme="minorEastAsia" w:cstheme="minorEastAsia"/>
          <w:sz w:val="32"/>
          <w:szCs w:val="32"/>
        </w:rPr>
      </w:pPr>
    </w:p>
    <w:p>
      <w:pPr>
        <w:rPr>
          <w:rFonts w:asciiTheme="minorEastAsia" w:hAnsiTheme="minorEastAsia" w:cstheme="minorEastAsia"/>
          <w:sz w:val="32"/>
          <w:szCs w:val="32"/>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0FFAD"/>
    <w:multiLevelType w:val="singleLevel"/>
    <w:tmpl w:val="4950FFA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6F1C5E"/>
    <w:rsid w:val="01742A72"/>
    <w:rsid w:val="01DA336E"/>
    <w:rsid w:val="05E42E29"/>
    <w:rsid w:val="061E09E3"/>
    <w:rsid w:val="06A43BA7"/>
    <w:rsid w:val="087A6196"/>
    <w:rsid w:val="0C5A5250"/>
    <w:rsid w:val="0C64513E"/>
    <w:rsid w:val="0DE649EC"/>
    <w:rsid w:val="0E13471B"/>
    <w:rsid w:val="0EE25EB1"/>
    <w:rsid w:val="10CB3E8D"/>
    <w:rsid w:val="11F35FF2"/>
    <w:rsid w:val="179A58B8"/>
    <w:rsid w:val="1B4A6025"/>
    <w:rsid w:val="1C3A257E"/>
    <w:rsid w:val="1DF453AF"/>
    <w:rsid w:val="1E107510"/>
    <w:rsid w:val="1E643EFE"/>
    <w:rsid w:val="209E0EC3"/>
    <w:rsid w:val="22140CC1"/>
    <w:rsid w:val="24D63713"/>
    <w:rsid w:val="2A937DAC"/>
    <w:rsid w:val="2DB60033"/>
    <w:rsid w:val="2F754CA8"/>
    <w:rsid w:val="2FB928F6"/>
    <w:rsid w:val="341824CB"/>
    <w:rsid w:val="343F3937"/>
    <w:rsid w:val="34D53928"/>
    <w:rsid w:val="37015ED3"/>
    <w:rsid w:val="38D63749"/>
    <w:rsid w:val="39E01B38"/>
    <w:rsid w:val="3F5C42DA"/>
    <w:rsid w:val="41EE06AB"/>
    <w:rsid w:val="43E475B8"/>
    <w:rsid w:val="44464920"/>
    <w:rsid w:val="44FB5DC2"/>
    <w:rsid w:val="458B37F5"/>
    <w:rsid w:val="467D2DBE"/>
    <w:rsid w:val="48832669"/>
    <w:rsid w:val="48E87EB6"/>
    <w:rsid w:val="4A4F3891"/>
    <w:rsid w:val="4AFA4BB2"/>
    <w:rsid w:val="4D9B3CEE"/>
    <w:rsid w:val="4EBA5260"/>
    <w:rsid w:val="522F50B0"/>
    <w:rsid w:val="52567629"/>
    <w:rsid w:val="52D54DBE"/>
    <w:rsid w:val="582B68F4"/>
    <w:rsid w:val="5D083F24"/>
    <w:rsid w:val="5D306324"/>
    <w:rsid w:val="60860A87"/>
    <w:rsid w:val="60B46440"/>
    <w:rsid w:val="615250FF"/>
    <w:rsid w:val="61C6166E"/>
    <w:rsid w:val="635C762A"/>
    <w:rsid w:val="670C00FF"/>
    <w:rsid w:val="6FD93AE0"/>
    <w:rsid w:val="71FC58C7"/>
    <w:rsid w:val="7249546B"/>
    <w:rsid w:val="729F0AAD"/>
    <w:rsid w:val="77583EF0"/>
    <w:rsid w:val="7B4A647D"/>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1953</Words>
  <Characters>2051</Characters>
  <Lines>27</Lines>
  <Paragraphs>7</Paragraphs>
  <TotalTime>4</TotalTime>
  <ScaleCrop>false</ScaleCrop>
  <LinksUpToDate>false</LinksUpToDate>
  <CharactersWithSpaces>2076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希芸</cp:lastModifiedBy>
  <cp:lastPrinted>2019-09-11T06:01:00Z</cp:lastPrinted>
  <dcterms:modified xsi:type="dcterms:W3CDTF">2022-03-30T01:31:26Z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C97A21A786814F85BA453B58658D5EE8</vt:lpwstr>
  </property>
</Properties>
</file>