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襄垣县党建服务中心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2022年部门预算公开</w:t>
      </w:r>
    </w:p>
    <w:p>
      <w:pPr>
        <w:jc w:val="center"/>
        <w:rPr>
          <w:rFonts w:ascii="黑体" w:hAnsi="黑体" w:eastAsia="黑体" w:cstheme="minorEastAsia"/>
          <w:sz w:val="44"/>
          <w:szCs w:val="44"/>
        </w:rPr>
      </w:pPr>
    </w:p>
    <w:p>
      <w:pPr>
        <w:jc w:val="center"/>
        <w:rPr>
          <w:rFonts w:hint="eastAsia" w:asciiTheme="minorEastAsia" w:hAnsiTheme="minorEastAsia" w:cstheme="minorEastAsia"/>
          <w:sz w:val="32"/>
          <w:szCs w:val="32"/>
        </w:rPr>
      </w:pPr>
      <w:r>
        <w:rPr>
          <w:rFonts w:hint="eastAsia" w:ascii="黑体" w:hAnsi="黑体" w:eastAsia="黑体" w:cstheme="minorEastAsia"/>
          <w:sz w:val="44"/>
          <w:szCs w:val="44"/>
        </w:rPr>
        <w:t>第一部分  部门职责及机构设置情况</w:t>
      </w:r>
      <w:r>
        <w:rPr>
          <w:rFonts w:hint="eastAsia" w:asciiTheme="minorEastAsia" w:hAnsiTheme="minorEastAsia" w:cstheme="minorEastAsia"/>
          <w:sz w:val="32"/>
          <w:szCs w:val="32"/>
        </w:rPr>
        <w:t xml:space="preserve"> </w:t>
      </w:r>
    </w:p>
    <w:p>
      <w:pPr>
        <w:jc w:val="center"/>
        <w:rPr>
          <w:rFonts w:asciiTheme="minorEastAsia" w:hAnsiTheme="minorEastAsia" w:cstheme="minorEastAsia"/>
          <w:sz w:val="32"/>
          <w:szCs w:val="32"/>
        </w:rPr>
      </w:pP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一、部门主要职能</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（一）提供接转全县党员组织关系、党务工作政策咨询等窗口服务。</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（二）组织对全县党员的培训、拓展教育。</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（三）建立健全全县党建数字资源库，收集，整理基层党组织和各级党群服务中心信息情况。</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（四）开展党员志愿者工作室、文化传习所、群团之家品牌活动，组织全县性党员志愿者服务活动。 </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（五）为基层党组织、党员提供各种教育资料和各种培训教育服务。</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（六）组织开展全县性党建服务中心主题活动，并为基层党组织提供党建指导。</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（七）协调各基层党建服务中心工作，并提供场地资源共享等基层党组织需要的其他综合服务。</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（八）加强党风廉政建设，明确领导班子、领导干部在党风廉政建设中的责任，推动科学发展，提高党的执政能力，保持和发展党的先进性。</w:t>
      </w:r>
    </w:p>
    <w:p>
      <w:pPr>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（九）负责中心的消防安全等日常安全管理工作。</w:t>
      </w:r>
    </w:p>
    <w:p>
      <w:pPr>
        <w:ind w:firstLine="643"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二、部门基本情况</w:t>
      </w:r>
    </w:p>
    <w:p>
      <w:pPr>
        <w:widowControl/>
        <w:spacing w:line="324" w:lineRule="atLeast"/>
        <w:ind w:left="540"/>
        <w:jc w:val="left"/>
        <w:rPr>
          <w:rFonts w:ascii="仿宋_GB2312" w:hAnsi="楷体" w:eastAsia="仿宋_GB2312" w:cs="宋体"/>
          <w:bCs/>
          <w:color w:val="000000" w:themeColor="text1"/>
          <w:kern w:val="0"/>
          <w:sz w:val="18"/>
          <w:szCs w:val="18"/>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（一）机构设置情况</w:t>
      </w:r>
    </w:p>
    <w:p>
      <w:pPr>
        <w:ind w:firstLine="645"/>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襄垣县党建服务中心内设5个职能股室、中心，职能股室、中心分别为：主任（1名）、副主任（</w:t>
      </w:r>
      <w:r>
        <w:rPr>
          <w:rFonts w:ascii="仿宋" w:hAnsi="仿宋" w:eastAsia="仿宋" w:cs="仿宋_GB2312"/>
          <w:color w:val="000000" w:themeColor="text1"/>
          <w:sz w:val="30"/>
          <w:szCs w:val="30"/>
          <w14:textFill>
            <w14:solidFill>
              <w14:schemeClr w14:val="tx1"/>
            </w14:solidFill>
          </w14:textFill>
        </w:rPr>
        <w:t>2</w:t>
      </w:r>
      <w:r>
        <w:rPr>
          <w:rFonts w:hint="eastAsia" w:ascii="仿宋" w:hAnsi="仿宋" w:eastAsia="仿宋" w:cs="仿宋_GB2312"/>
          <w:color w:val="000000" w:themeColor="text1"/>
          <w:sz w:val="30"/>
          <w:szCs w:val="30"/>
          <w14:textFill>
            <w14:solidFill>
              <w14:schemeClr w14:val="tx1"/>
            </w14:solidFill>
          </w14:textFill>
        </w:rPr>
        <w:t>名）、办公室（3名）、接待服务股（3名）、党建信息股（</w:t>
      </w:r>
      <w:r>
        <w:rPr>
          <w:rFonts w:ascii="仿宋" w:hAnsi="仿宋" w:eastAsia="仿宋" w:cs="仿宋_GB2312"/>
          <w:color w:val="000000" w:themeColor="text1"/>
          <w:sz w:val="30"/>
          <w:szCs w:val="30"/>
          <w14:textFill>
            <w14:solidFill>
              <w14:schemeClr w14:val="tx1"/>
            </w14:solidFill>
          </w14:textFill>
        </w:rPr>
        <w:t>2</w:t>
      </w:r>
      <w:r>
        <w:rPr>
          <w:rFonts w:hint="eastAsia" w:ascii="仿宋" w:hAnsi="仿宋" w:eastAsia="仿宋" w:cs="仿宋_GB2312"/>
          <w:color w:val="000000" w:themeColor="text1"/>
          <w:sz w:val="30"/>
          <w:szCs w:val="30"/>
          <w14:textFill>
            <w14:solidFill>
              <w14:schemeClr w14:val="tx1"/>
            </w14:solidFill>
          </w14:textFill>
        </w:rPr>
        <w:t>名）、党群活动股（</w:t>
      </w:r>
      <w:r>
        <w:rPr>
          <w:rFonts w:ascii="仿宋" w:hAnsi="仿宋" w:eastAsia="仿宋" w:cs="仿宋_GB2312"/>
          <w:color w:val="000000" w:themeColor="text1"/>
          <w:sz w:val="30"/>
          <w:szCs w:val="30"/>
          <w14:textFill>
            <w14:solidFill>
              <w14:schemeClr w14:val="tx1"/>
            </w14:solidFill>
          </w14:textFill>
        </w:rPr>
        <w:t>4</w:t>
      </w:r>
      <w:r>
        <w:rPr>
          <w:rFonts w:hint="eastAsia" w:ascii="仿宋" w:hAnsi="仿宋" w:eastAsia="仿宋" w:cs="仿宋_GB2312"/>
          <w:color w:val="000000" w:themeColor="text1"/>
          <w:sz w:val="30"/>
          <w:szCs w:val="30"/>
          <w14:textFill>
            <w14:solidFill>
              <w14:schemeClr w14:val="tx1"/>
            </w14:solidFill>
          </w14:textFill>
        </w:rPr>
        <w:t xml:space="preserve">名）、财务股（1名）。  </w:t>
      </w:r>
    </w:p>
    <w:p>
      <w:pPr>
        <w:widowControl/>
        <w:spacing w:line="324" w:lineRule="atLeast"/>
        <w:ind w:left="540"/>
        <w:jc w:val="left"/>
        <w:rPr>
          <w:rFonts w:ascii="仿宋_GB2312" w:hAnsi="楷体" w:eastAsia="仿宋_GB2312" w:cs="宋体"/>
          <w:bCs/>
          <w:color w:val="000000" w:themeColor="text1"/>
          <w:kern w:val="0"/>
          <w:sz w:val="32"/>
          <w:szCs w:val="32"/>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（二）人员情况说明</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现有事业编制</w:t>
      </w:r>
      <w:r>
        <w:rPr>
          <w:rFonts w:ascii="仿宋" w:hAnsi="仿宋" w:eastAsia="仿宋" w:cs="仿宋_GB2312"/>
          <w:color w:val="000000" w:themeColor="text1"/>
          <w:sz w:val="32"/>
          <w:szCs w:val="32"/>
          <w14:textFill>
            <w14:solidFill>
              <w14:schemeClr w14:val="tx1"/>
            </w14:solidFill>
          </w14:textFill>
        </w:rPr>
        <w:t>16</w:t>
      </w:r>
      <w:r>
        <w:rPr>
          <w:rFonts w:hint="eastAsia" w:ascii="仿宋" w:hAnsi="仿宋" w:eastAsia="仿宋" w:cs="仿宋_GB2312"/>
          <w:color w:val="000000" w:themeColor="text1"/>
          <w:sz w:val="32"/>
          <w:szCs w:val="32"/>
          <w14:textFill>
            <w14:solidFill>
              <w14:schemeClr w14:val="tx1"/>
            </w14:solidFill>
          </w14:textFill>
        </w:rPr>
        <w:t>名，实有</w:t>
      </w:r>
      <w:r>
        <w:rPr>
          <w:rFonts w:ascii="仿宋" w:hAnsi="仿宋" w:eastAsia="仿宋" w:cs="仿宋_GB2312"/>
          <w:color w:val="000000" w:themeColor="text1"/>
          <w:sz w:val="32"/>
          <w:szCs w:val="32"/>
          <w14:textFill>
            <w14:solidFill>
              <w14:schemeClr w14:val="tx1"/>
            </w14:solidFill>
          </w14:textFill>
        </w:rPr>
        <w:t>10</w:t>
      </w:r>
      <w:r>
        <w:rPr>
          <w:rFonts w:hint="eastAsia" w:ascii="仿宋" w:hAnsi="仿宋" w:eastAsia="仿宋" w:cs="仿宋_GB2312"/>
          <w:color w:val="000000" w:themeColor="text1"/>
          <w:sz w:val="32"/>
          <w:szCs w:val="32"/>
          <w14:textFill>
            <w14:solidFill>
              <w14:schemeClr w14:val="tx1"/>
            </w14:solidFill>
          </w14:textFill>
        </w:rPr>
        <w:t>人。</w:t>
      </w:r>
    </w:p>
    <w:p>
      <w:pPr>
        <w:ind w:firstLine="645"/>
        <w:rPr>
          <w:rFonts w:hint="eastAsia" w:ascii="仿宋" w:hAnsi="仿宋" w:eastAsia="仿宋" w:cs="仿宋_GB2312"/>
          <w:color w:val="000000" w:themeColor="text1"/>
          <w:sz w:val="32"/>
          <w:szCs w:val="32"/>
          <w14:textFill>
            <w14:solidFill>
              <w14:schemeClr w14:val="tx1"/>
            </w14:solidFill>
          </w14:textFill>
        </w:rPr>
      </w:pPr>
    </w:p>
    <w:p>
      <w:pPr>
        <w:jc w:val="center"/>
        <w:rPr>
          <w:rFonts w:hint="eastAsia" w:asciiTheme="minorEastAsia" w:hAnsiTheme="minorEastAsia" w:cstheme="minorEastAsia"/>
          <w:sz w:val="32"/>
          <w:szCs w:val="32"/>
        </w:rPr>
      </w:pPr>
      <w:r>
        <w:rPr>
          <w:rFonts w:hint="eastAsia" w:ascii="黑体" w:hAnsi="黑体" w:eastAsia="黑体" w:cstheme="minorEastAsia"/>
          <w:sz w:val="44"/>
          <w:szCs w:val="44"/>
        </w:rPr>
        <w:t>第二部分  2022年度预算情况说明</w:t>
      </w:r>
      <w:r>
        <w:rPr>
          <w:rFonts w:hint="eastAsia" w:asciiTheme="minorEastAsia" w:hAnsiTheme="minorEastAsia" w:cstheme="minorEastAsia"/>
          <w:sz w:val="32"/>
          <w:szCs w:val="32"/>
        </w:rPr>
        <w:t xml:space="preserve"> </w:t>
      </w:r>
    </w:p>
    <w:p>
      <w:pPr>
        <w:ind w:firstLine="645"/>
        <w:rPr>
          <w:rFonts w:ascii="仿宋_GB2312" w:hAnsi="仿宋" w:eastAsia="仿宋_GB2312" w:cstheme="minorEastAsia"/>
          <w:color w:val="000000" w:themeColor="text1"/>
          <w:sz w:val="32"/>
          <w:szCs w:val="32"/>
          <w14:textFill>
            <w14:solidFill>
              <w14:schemeClr w14:val="tx1"/>
            </w14:solidFill>
          </w14:textFill>
        </w:rPr>
      </w:pP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一、</w:t>
      </w:r>
      <w:r>
        <w:rPr>
          <w:rFonts w:ascii="黑体" w:hAnsi="黑体" w:eastAsia="黑体" w:cstheme="minorEastAsia"/>
          <w:sz w:val="32"/>
          <w:szCs w:val="32"/>
        </w:rPr>
        <w:t>2022</w:t>
      </w:r>
      <w:r>
        <w:rPr>
          <w:rFonts w:hint="eastAsia" w:ascii="黑体" w:hAnsi="黑体" w:eastAsia="黑体" w:cstheme="minorEastAsia"/>
          <w:sz w:val="32"/>
          <w:szCs w:val="32"/>
        </w:rPr>
        <w:t>年度部门预算数据变动情况及说明</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襄垣县党建服务中心</w:t>
      </w:r>
      <w:r>
        <w:rPr>
          <w:rFonts w:ascii="仿宋" w:hAnsi="仿宋" w:eastAsia="仿宋" w:cs="仿宋_GB2312"/>
          <w:color w:val="000000" w:themeColor="text1"/>
          <w:sz w:val="32"/>
          <w:szCs w:val="32"/>
          <w14:textFill>
            <w14:solidFill>
              <w14:schemeClr w14:val="tx1"/>
            </w14:solidFill>
          </w14:textFill>
        </w:rPr>
        <w:t>2022</w:t>
      </w:r>
      <w:r>
        <w:rPr>
          <w:rFonts w:hint="eastAsia" w:ascii="仿宋" w:hAnsi="仿宋" w:eastAsia="仿宋" w:cs="仿宋_GB2312"/>
          <w:color w:val="000000" w:themeColor="text1"/>
          <w:sz w:val="32"/>
          <w:szCs w:val="32"/>
          <w14:textFill>
            <w14:solidFill>
              <w14:schemeClr w14:val="tx1"/>
            </w14:solidFill>
          </w14:textFill>
        </w:rPr>
        <w:t>年度收入、支出预算总计235.56万元，与上年相比收、支预算总计各增加</w:t>
      </w:r>
      <w:r>
        <w:rPr>
          <w:rFonts w:hint="eastAsia" w:ascii="仿宋" w:hAnsi="仿宋" w:eastAsia="仿宋" w:cs="仿宋_GB2312"/>
          <w:color w:val="000000" w:themeColor="text1"/>
          <w:sz w:val="32"/>
          <w:szCs w:val="32"/>
          <w:lang w:val="en-US" w:eastAsia="zh-CN"/>
          <w14:textFill>
            <w14:solidFill>
              <w14:schemeClr w14:val="tx1"/>
            </w14:solidFill>
          </w14:textFill>
        </w:rPr>
        <w:t>15.84</w:t>
      </w:r>
      <w:r>
        <w:rPr>
          <w:rFonts w:hint="eastAsia" w:ascii="仿宋" w:hAnsi="仿宋" w:eastAsia="仿宋" w:cs="仿宋_GB2312"/>
          <w:color w:val="000000" w:themeColor="text1"/>
          <w:sz w:val="32"/>
          <w:szCs w:val="32"/>
          <w14:textFill>
            <w14:solidFill>
              <w14:schemeClr w14:val="tx1"/>
            </w14:solidFill>
          </w14:textFill>
        </w:rPr>
        <w:t xml:space="preserve">万元，增长 </w:t>
      </w:r>
      <w:r>
        <w:rPr>
          <w:rFonts w:hint="eastAsia" w:ascii="仿宋" w:hAnsi="仿宋" w:eastAsia="仿宋" w:cs="仿宋_GB2312"/>
          <w:color w:val="000000" w:themeColor="text1"/>
          <w:sz w:val="32"/>
          <w:szCs w:val="32"/>
          <w:lang w:val="en-US" w:eastAsia="zh-CN"/>
          <w14:textFill>
            <w14:solidFill>
              <w14:schemeClr w14:val="tx1"/>
            </w14:solidFill>
          </w14:textFill>
        </w:rPr>
        <w:t>15.54</w:t>
      </w:r>
      <w:r>
        <w:rPr>
          <w:rFonts w:hint="eastAsia" w:ascii="仿宋" w:hAnsi="仿宋" w:eastAsia="仿宋" w:cs="仿宋_GB2312"/>
          <w:color w:val="000000" w:themeColor="text1"/>
          <w:sz w:val="32"/>
          <w:szCs w:val="32"/>
          <w14:textFill>
            <w14:solidFill>
              <w14:schemeClr w14:val="tx1"/>
            </w14:solidFill>
          </w14:textFill>
        </w:rPr>
        <w:t>%。主要原因是20</w:t>
      </w:r>
      <w:r>
        <w:rPr>
          <w:rFonts w:ascii="仿宋" w:hAnsi="仿宋" w:eastAsia="仿宋" w:cs="仿宋_GB2312"/>
          <w:color w:val="000000" w:themeColor="text1"/>
          <w:sz w:val="32"/>
          <w:szCs w:val="32"/>
          <w14:textFill>
            <w14:solidFill>
              <w14:schemeClr w14:val="tx1"/>
            </w14:solidFill>
          </w14:textFill>
        </w:rPr>
        <w:t>21</w:t>
      </w:r>
      <w:r>
        <w:rPr>
          <w:rFonts w:hint="eastAsia" w:ascii="仿宋" w:hAnsi="仿宋" w:eastAsia="仿宋" w:cs="仿宋_GB2312"/>
          <w:color w:val="000000" w:themeColor="text1"/>
          <w:sz w:val="32"/>
          <w:szCs w:val="32"/>
          <w14:textFill>
            <w14:solidFill>
              <w14:schemeClr w14:val="tx1"/>
            </w14:solidFill>
          </w14:textFill>
        </w:rPr>
        <w:t>年预算批复较去年增加了</w:t>
      </w:r>
      <w:r>
        <w:rPr>
          <w:rFonts w:ascii="仿宋" w:hAnsi="仿宋" w:eastAsia="仿宋" w:cs="仿宋_GB2312"/>
          <w:color w:val="000000" w:themeColor="text1"/>
          <w:sz w:val="32"/>
          <w:szCs w:val="32"/>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个项目资金和财政供养人员减少。其中：</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（一）收入预算总计117.78万元。包括：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1．财政拨款收入预算总计117.78万元。</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（1）一般公共预算收入预算117.78万元，与上年相比增加15.84万元，增长15.54%。主要原因是2022年预算批复较去年增加了2个项目资金（党建服务运行经费和2021年党建服务运行经费）和财政供养人员减少等原因。</w:t>
      </w:r>
    </w:p>
    <w:p>
      <w:pPr>
        <w:ind w:firstLine="645"/>
        <w:rPr>
          <w:rFonts w:ascii="仿宋" w:hAnsi="仿宋" w:eastAsia="仿宋" w:cs="仿宋_GB2312"/>
          <w:sz w:val="32"/>
          <w:szCs w:val="32"/>
        </w:rPr>
      </w:pPr>
      <w:r>
        <w:rPr>
          <w:rFonts w:hint="eastAsia" w:ascii="仿宋" w:hAnsi="仿宋" w:eastAsia="仿宋" w:cs="仿宋_GB2312"/>
          <w:sz w:val="32"/>
          <w:szCs w:val="32"/>
        </w:rPr>
        <w:t>（2）政府性基金收入预算0万元，与上年相比增加（减少）0万元，增长（减少）0%。主要原因是本单位本年度无此项预算。</w:t>
      </w:r>
    </w:p>
    <w:p>
      <w:pPr>
        <w:ind w:firstLine="645"/>
        <w:rPr>
          <w:rFonts w:ascii="仿宋" w:hAnsi="仿宋" w:eastAsia="仿宋" w:cs="仿宋_GB2312"/>
          <w:sz w:val="32"/>
          <w:szCs w:val="32"/>
        </w:rPr>
      </w:pPr>
      <w:r>
        <w:rPr>
          <w:rFonts w:hint="eastAsia" w:ascii="仿宋" w:hAnsi="仿宋" w:eastAsia="仿宋" w:cs="仿宋_GB2312"/>
          <w:sz w:val="32"/>
          <w:szCs w:val="32"/>
        </w:rPr>
        <w:t>2．财政专户管理资金收入预算总计0万元。与上年相比增加（减少）0万元，增长（减少）0%。主要原因是本单位本年度无此项预算。</w:t>
      </w:r>
    </w:p>
    <w:p>
      <w:pPr>
        <w:ind w:firstLine="645"/>
        <w:rPr>
          <w:rFonts w:ascii="仿宋" w:hAnsi="仿宋" w:eastAsia="仿宋" w:cs="仿宋_GB2312"/>
          <w:sz w:val="32"/>
          <w:szCs w:val="32"/>
        </w:rPr>
      </w:pPr>
      <w:r>
        <w:rPr>
          <w:rFonts w:hint="eastAsia" w:ascii="仿宋" w:hAnsi="仿宋" w:eastAsia="仿宋" w:cs="仿宋_GB2312"/>
          <w:sz w:val="32"/>
          <w:szCs w:val="32"/>
        </w:rPr>
        <w:t>3．其他资金收入预算总计0万元。与上年相比增加（减少）0万元，增长（减少）0%。主要原因是本单位本年度无此项预算。</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sz w:val="32"/>
          <w:szCs w:val="32"/>
        </w:rPr>
        <w:t>4．上年结转资金预算数为0万元。与上年相比增加（减少）0万元，增长（减少）0%。主要原因是本单位本年度无此项预算。</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（二）支出预算总计117.78万元。包括：</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1．一般公共服务（类）支出</w:t>
      </w:r>
      <w:r>
        <w:rPr>
          <w:rFonts w:hint="eastAsia" w:ascii="仿宋" w:hAnsi="仿宋" w:eastAsia="仿宋" w:cs="仿宋_GB2312"/>
          <w:color w:val="000000" w:themeColor="text1"/>
          <w:sz w:val="32"/>
          <w:szCs w:val="32"/>
          <w:lang w:val="en-US" w:eastAsia="zh-CN"/>
          <w14:textFill>
            <w14:solidFill>
              <w14:schemeClr w14:val="tx1"/>
            </w14:solidFill>
          </w14:textFill>
        </w:rPr>
        <w:t>93.98</w:t>
      </w:r>
      <w:r>
        <w:rPr>
          <w:rFonts w:hint="eastAsia" w:ascii="仿宋" w:hAnsi="仿宋" w:eastAsia="仿宋" w:cs="仿宋_GB2312"/>
          <w:color w:val="000000" w:themeColor="text1"/>
          <w:sz w:val="32"/>
          <w:szCs w:val="32"/>
          <w14:textFill>
            <w14:solidFill>
              <w14:schemeClr w14:val="tx1"/>
            </w14:solidFill>
          </w14:textFill>
        </w:rPr>
        <w:t>万元，主要用于统发工资、公用经费和项目资金支出。与上年相比增加</w:t>
      </w:r>
      <w:r>
        <w:rPr>
          <w:rFonts w:hint="eastAsia" w:ascii="仿宋" w:hAnsi="仿宋" w:eastAsia="仿宋" w:cs="仿宋_GB2312"/>
          <w:color w:val="000000" w:themeColor="text1"/>
          <w:sz w:val="32"/>
          <w:szCs w:val="32"/>
          <w:lang w:val="en-US" w:eastAsia="zh-CN"/>
          <w14:textFill>
            <w14:solidFill>
              <w14:schemeClr w14:val="tx1"/>
            </w14:solidFill>
          </w14:textFill>
        </w:rPr>
        <w:t>16.09</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_GB2312"/>
          <w:color w:val="000000" w:themeColor="text1"/>
          <w:sz w:val="32"/>
          <w:szCs w:val="32"/>
          <w:lang w:val="en-US" w:eastAsia="zh-CN"/>
          <w14:textFill>
            <w14:solidFill>
              <w14:schemeClr w14:val="tx1"/>
            </w14:solidFill>
          </w14:textFill>
        </w:rPr>
        <w:t>增加20.66</w:t>
      </w:r>
      <w:r>
        <w:rPr>
          <w:rFonts w:hint="eastAsia" w:ascii="仿宋" w:hAnsi="仿宋" w:eastAsia="仿宋" w:cs="仿宋_GB2312"/>
          <w:color w:val="000000" w:themeColor="text1"/>
          <w:sz w:val="32"/>
          <w:szCs w:val="32"/>
          <w14:textFill>
            <w14:solidFill>
              <w14:schemeClr w14:val="tx1"/>
            </w14:solidFill>
          </w14:textFill>
        </w:rPr>
        <w:t>%。主要原因是2022年预算批复较去年增加了2个项目资金（党建服务运行经费和2021年党建服务运行经费）和财政供养人员减少等原因。</w:t>
      </w:r>
    </w:p>
    <w:p>
      <w:pPr>
        <w:keepNext w:val="0"/>
        <w:keepLines w:val="0"/>
        <w:pageBreakBefore w:val="0"/>
        <w:kinsoku/>
        <w:wordWrap/>
        <w:overflowPunct/>
        <w:topLinePunct w:val="0"/>
        <w:bidi w:val="0"/>
        <w:spacing w:line="560" w:lineRule="exact"/>
        <w:ind w:firstLine="645"/>
        <w:textAlignment w:val="auto"/>
        <w:rPr>
          <w:rFonts w:hint="eastAsia" w:ascii="仿宋" w:hAnsi="仿宋" w:eastAsia="仿宋" w:cs="仿宋_GB2312"/>
          <w:color w:val="auto"/>
          <w:kern w:val="2"/>
          <w:sz w:val="32"/>
          <w:szCs w:val="32"/>
          <w:lang w:val="en-US" w:eastAsia="zh-CN" w:bidi="ar"/>
        </w:rPr>
      </w:pPr>
      <w:r>
        <w:rPr>
          <w:rFonts w:hint="eastAsia" w:ascii="仿宋" w:hAnsi="仿宋" w:eastAsia="仿宋" w:cs="仿宋_GB2312"/>
          <w:sz w:val="32"/>
          <w:szCs w:val="32"/>
        </w:rPr>
        <w:t>2．</w:t>
      </w:r>
      <w:r>
        <w:rPr>
          <w:rFonts w:hint="eastAsia" w:ascii="仿宋" w:hAnsi="仿宋" w:eastAsia="仿宋" w:cs="仿宋_GB2312"/>
          <w:color w:val="auto"/>
          <w:kern w:val="2"/>
          <w:sz w:val="32"/>
          <w:szCs w:val="32"/>
          <w:lang w:val="en-US" w:eastAsia="zh-CN" w:bidi="ar"/>
        </w:rPr>
        <w:t>社会保障和就业（类）支出10.38万元，主要用于人员工资。与上年相比减少0.55万元，减少5.03%。主要原因是人员工资。</w:t>
      </w:r>
    </w:p>
    <w:p>
      <w:pPr>
        <w:keepNext w:val="0"/>
        <w:keepLines w:val="0"/>
        <w:pageBreakBefore w:val="0"/>
        <w:kinsoku/>
        <w:wordWrap/>
        <w:overflowPunct/>
        <w:topLinePunct w:val="0"/>
        <w:bidi w:val="0"/>
        <w:spacing w:line="560" w:lineRule="exact"/>
        <w:ind w:firstLine="645"/>
        <w:textAlignment w:val="auto"/>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3．卫生健康支出（类）支出4.71万元，主要用于人员工资。与上年相比减少0.21万元，减少4.27%。主要原因是人员工资。</w:t>
      </w:r>
    </w:p>
    <w:p>
      <w:pPr>
        <w:keepNext w:val="0"/>
        <w:keepLines w:val="0"/>
        <w:pageBreakBefore w:val="0"/>
        <w:kinsoku/>
        <w:wordWrap/>
        <w:overflowPunct/>
        <w:topLinePunct w:val="0"/>
        <w:bidi w:val="0"/>
        <w:spacing w:line="560" w:lineRule="exact"/>
        <w:ind w:firstLine="645"/>
        <w:textAlignment w:val="auto"/>
        <w:rPr>
          <w:rFonts w:hint="eastAsia" w:ascii="仿宋" w:hAnsi="仿宋" w:eastAsia="仿宋" w:cs="仿宋_GB2312"/>
          <w:sz w:val="32"/>
          <w:szCs w:val="32"/>
        </w:rPr>
      </w:pPr>
      <w:r>
        <w:rPr>
          <w:rFonts w:hint="eastAsia" w:ascii="仿宋" w:hAnsi="仿宋" w:eastAsia="仿宋" w:cs="仿宋_GB2312"/>
          <w:color w:val="auto"/>
          <w:kern w:val="2"/>
          <w:sz w:val="32"/>
          <w:szCs w:val="32"/>
          <w:lang w:val="en-US" w:eastAsia="zh-CN" w:bidi="ar"/>
        </w:rPr>
        <w:t>4．住房保障支出（类）支出8.72万元，主要用于人员工资。与上年相比增加0.52万元，增加6.34%。主要原因是人员工资提高。</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sz w:val="32"/>
          <w:szCs w:val="32"/>
        </w:rPr>
        <w:t>此外，</w:t>
      </w:r>
      <w:r>
        <w:rPr>
          <w:rFonts w:hint="eastAsia" w:ascii="仿宋" w:hAnsi="仿宋" w:eastAsia="仿宋" w:cs="仿宋_GB2312"/>
          <w:color w:val="000000" w:themeColor="text1"/>
          <w:sz w:val="32"/>
          <w:szCs w:val="32"/>
          <w14:textFill>
            <w14:solidFill>
              <w14:schemeClr w14:val="tx1"/>
            </w14:solidFill>
          </w14:textFill>
        </w:rPr>
        <w:t>基本支出预算数为92.78万元。与上年相比减少了9.16万元，减少8.99 %。主要原因是财政供养人员减少。</w:t>
      </w:r>
    </w:p>
    <w:p>
      <w:pPr>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项目支出预算数为25万元。与上年相比增加25 万元。主要原因是2022年预算批复较去年增加了2个项目资金（党建服务运行经费和2021年党建服务运行经费）。</w:t>
      </w:r>
    </w:p>
    <w:p>
      <w:pPr>
        <w:ind w:firstLine="645"/>
        <w:rPr>
          <w:rFonts w:hint="eastAsia" w:ascii="仿宋" w:hAnsi="仿宋" w:eastAsia="仿宋" w:cs="仿宋_GB2312"/>
          <w:sz w:val="32"/>
          <w:szCs w:val="32"/>
        </w:rPr>
      </w:pPr>
      <w:r>
        <w:rPr>
          <w:rFonts w:hint="eastAsia" w:ascii="仿宋" w:hAnsi="仿宋" w:eastAsia="仿宋" w:cs="仿宋_GB2312"/>
          <w:sz w:val="32"/>
          <w:szCs w:val="32"/>
        </w:rPr>
        <w:t>单位预留机动经费预算数为0万元。与上年相比增加（减少）0万元，增长（减少）0%。主要原因是本单位本年度无此项预算。</w:t>
      </w:r>
    </w:p>
    <w:p>
      <w:pPr>
        <w:rPr>
          <w:rFonts w:ascii="楷体" w:hAnsi="楷体" w:eastAsia="楷体" w:cstheme="minorEastAsia"/>
          <w:bCs/>
          <w:sz w:val="32"/>
          <w:szCs w:val="32"/>
        </w:rPr>
      </w:pPr>
      <w:r>
        <w:rPr>
          <w:rFonts w:hint="eastAsia" w:ascii="楷体" w:hAnsi="楷体" w:eastAsia="楷体" w:cstheme="minorEastAsia"/>
          <w:bCs/>
          <w:color w:val="000000" w:themeColor="text1"/>
          <w:sz w:val="32"/>
          <w:szCs w:val="32"/>
          <w14:textFill>
            <w14:solidFill>
              <w14:schemeClr w14:val="tx1"/>
            </w14:solidFill>
          </w14:textFill>
        </w:rPr>
        <w:t>二、</w:t>
      </w:r>
      <w:r>
        <w:rPr>
          <w:rFonts w:hint="eastAsia" w:ascii="楷体" w:hAnsi="楷体" w:eastAsia="楷体" w:cstheme="minorEastAsia"/>
          <w:bCs/>
          <w:sz w:val="32"/>
          <w:szCs w:val="32"/>
        </w:rPr>
        <w:t xml:space="preserve"> “三公”经费增减变化原因</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w:t>
      </w:r>
      <w:r>
        <w:rPr>
          <w:rFonts w:ascii="仿宋_GB2312" w:eastAsia="仿宋_GB2312" w:hAnsiTheme="minorEastAsia" w:cstheme="minorEastAsia"/>
          <w:sz w:val="32"/>
          <w:szCs w:val="32"/>
        </w:rPr>
        <w:t>2022</w:t>
      </w:r>
      <w:r>
        <w:rPr>
          <w:rFonts w:hint="eastAsia" w:ascii="仿宋_GB2312" w:eastAsia="仿宋_GB2312" w:hAnsiTheme="minorEastAsia" w:cstheme="minorEastAsia"/>
          <w:sz w:val="32"/>
          <w:szCs w:val="32"/>
        </w:rPr>
        <w:t>年度一般公共预算“三公”经费预算数为0万元，较</w:t>
      </w:r>
      <w:r>
        <w:rPr>
          <w:rFonts w:ascii="仿宋_GB2312" w:eastAsia="仿宋_GB2312" w:hAnsiTheme="minorEastAsia" w:cstheme="minorEastAsia"/>
          <w:sz w:val="32"/>
          <w:szCs w:val="32"/>
        </w:rPr>
        <w:t>2021</w:t>
      </w:r>
      <w:r>
        <w:rPr>
          <w:rFonts w:hint="eastAsia" w:ascii="仿宋_GB2312" w:eastAsia="仿宋_GB2312" w:hAnsiTheme="minorEastAsia" w:cstheme="minorEastAsia"/>
          <w:sz w:val="32"/>
          <w:szCs w:val="32"/>
        </w:rPr>
        <w:t>年减少0万元，下降0%，其中：</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因公出国（境）支出年初预算数为0万元，因公出国（境）团组数为0，人数为0。较</w:t>
      </w:r>
      <w:r>
        <w:rPr>
          <w:rFonts w:ascii="仿宋_GB2312" w:eastAsia="仿宋_GB2312" w:hAnsiTheme="minorEastAsia" w:cstheme="minorEastAsia"/>
          <w:sz w:val="32"/>
          <w:szCs w:val="32"/>
        </w:rPr>
        <w:t>2021</w:t>
      </w:r>
      <w:r>
        <w:rPr>
          <w:rFonts w:hint="eastAsia" w:ascii="仿宋_GB2312" w:eastAsia="仿宋_GB2312" w:hAnsiTheme="minorEastAsia" w:cstheme="minorEastAsia"/>
          <w:sz w:val="32"/>
          <w:szCs w:val="32"/>
        </w:rPr>
        <w:t>年增加（减少）0万元，增长（下降）0%。</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（二）公务接待费支出年初预算数为0万元，较</w:t>
      </w:r>
      <w:r>
        <w:rPr>
          <w:rFonts w:ascii="仿宋_GB2312" w:eastAsia="仿宋_GB2312" w:hAnsiTheme="minorEastAsia" w:cstheme="minorEastAsia"/>
          <w:sz w:val="32"/>
          <w:szCs w:val="32"/>
        </w:rPr>
        <w:t>2021</w:t>
      </w:r>
      <w:r>
        <w:rPr>
          <w:rFonts w:hint="eastAsia" w:ascii="仿宋_GB2312" w:eastAsia="仿宋_GB2312" w:hAnsiTheme="minorEastAsia" w:cstheme="minorEastAsia"/>
          <w:sz w:val="32"/>
          <w:szCs w:val="32"/>
        </w:rPr>
        <w:t>年减少0万元，下降0%。</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（三）公务用车购置及运行维护费支出0万元，其中公务用车购置年初预算数为0万元，较20</w:t>
      </w:r>
      <w:r>
        <w:rPr>
          <w:rFonts w:ascii="仿宋_GB2312" w:eastAsia="仿宋_GB2312" w:hAnsiTheme="minorEastAsia" w:cstheme="minorEastAsia"/>
          <w:sz w:val="32"/>
          <w:szCs w:val="32"/>
        </w:rPr>
        <w:t>21</w:t>
      </w:r>
      <w:r>
        <w:rPr>
          <w:rFonts w:hint="eastAsia" w:ascii="仿宋_GB2312" w:eastAsia="仿宋_GB2312" w:hAnsiTheme="minorEastAsia" w:cstheme="minorEastAsia"/>
          <w:sz w:val="32"/>
          <w:szCs w:val="32"/>
        </w:rPr>
        <w:t>年增加（减少）0万元，增长（下降）0%；公务用车运行维护费支出年初预算数为0万元，较</w:t>
      </w:r>
      <w:r>
        <w:rPr>
          <w:rFonts w:ascii="仿宋_GB2312" w:eastAsia="仿宋_GB2312" w:hAnsiTheme="minorEastAsia" w:cstheme="minorEastAsia"/>
          <w:sz w:val="32"/>
          <w:szCs w:val="32"/>
        </w:rPr>
        <w:t>2021</w:t>
      </w:r>
      <w:r>
        <w:rPr>
          <w:rFonts w:hint="eastAsia" w:ascii="仿宋_GB2312" w:eastAsia="仿宋_GB2312" w:hAnsiTheme="minorEastAsia" w:cstheme="minorEastAsia"/>
          <w:sz w:val="32"/>
          <w:szCs w:val="32"/>
        </w:rPr>
        <w:t>年增加（减少）0万元，增长（下降）0%。本年度公务用车购置数0辆，公务用车保有量0辆。</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本单位本年度无此项预算，故无增减变化情况说明。</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三、机关运行经费增减变动原因说明</w:t>
      </w:r>
    </w:p>
    <w:p>
      <w:pPr>
        <w:ind w:firstLine="640" w:firstLineChars="200"/>
        <w:rPr>
          <w:rFonts w:hint="default" w:ascii="仿宋_GB2312" w:eastAsia="仿宋_GB2312" w:hAnsiTheme="minorEastAsia" w:cstheme="minorEastAsia"/>
          <w:color w:val="FF0000"/>
          <w:sz w:val="32"/>
          <w:szCs w:val="32"/>
          <w:lang w:val="en-US" w:eastAsia="zh-CN"/>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本单位机关运行经费支出预算数为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万元，较2021年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w:t>
      </w:r>
      <w:r>
        <w:rPr>
          <w:rFonts w:hint="eastAsia" w:ascii="仿宋_GB2312" w:eastAsia="仿宋_GB2312" w:hAnsiTheme="minorEastAsia" w:cstheme="minorEastAsia"/>
          <w:color w:val="000000" w:themeColor="text1"/>
          <w:sz w:val="32"/>
          <w:szCs w:val="32"/>
          <w14:textFill>
            <w14:solidFill>
              <w14:schemeClr w14:val="tx1"/>
            </w14:solidFill>
          </w14:textFill>
        </w:rPr>
        <w:t>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万元，其中：办公费支出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万元、印刷费支出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万元、差旅费支出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万元等。主要增减变化情况：</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无。</w:t>
      </w:r>
      <w:bookmarkStart w:id="0" w:name="_GoBack"/>
      <w:bookmarkEnd w:id="0"/>
    </w:p>
    <w:p>
      <w:pPr>
        <w:pStyle w:val="10"/>
        <w:numPr>
          <w:ilvl w:val="0"/>
          <w:numId w:val="2"/>
        </w:numPr>
        <w:ind w:firstLineChars="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楷体" w:hAnsi="楷体" w:eastAsia="楷体" w:cstheme="minorEastAsia"/>
          <w:bCs/>
          <w:sz w:val="32"/>
          <w:szCs w:val="32"/>
        </w:rPr>
        <w:t>政府采购情况</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本部门2022年度政府采购安排0万元，其中：政府采购货物支出0万元、政府采购工程支出0万元、政府采购服务支出0万元。授予中小企业合同金额0万元，占政府采购支出总额的0%。</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本单位本年度无此项预算，故无此项说明</w:t>
      </w:r>
      <w:r>
        <w:rPr>
          <w:rFonts w:hint="eastAsia" w:ascii="仿宋_GB2312" w:eastAsia="仿宋_GB2312" w:hAnsiTheme="minorEastAsia" w:cstheme="minorEastAsia"/>
          <w:sz w:val="32"/>
          <w:szCs w:val="32"/>
        </w:rPr>
        <w:t>。</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sz w:val="32"/>
          <w:szCs w:val="32"/>
        </w:rPr>
        <w:t>五、</w:t>
      </w:r>
      <w:r>
        <w:rPr>
          <w:rFonts w:hint="eastAsia" w:ascii="楷体" w:hAnsi="楷体" w:eastAsia="楷体" w:cstheme="minorEastAsia"/>
          <w:bCs/>
          <w:color w:val="000000" w:themeColor="text1"/>
          <w:sz w:val="32"/>
          <w:szCs w:val="32"/>
          <w14:textFill>
            <w14:solidFill>
              <w14:schemeClr w14:val="tx1"/>
            </w14:solidFill>
          </w14:textFill>
        </w:rPr>
        <w:t>绩效管理情况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1、绩效管理情况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2022年度实行绩效目标管理的项目2个，涉及一般公用预算当年拨款25万元。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2、绩效目标情况</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党建服务运行经费18万元。为全县基层组织、党员开展党史教育、仪式教育、组织生活标准化教育、思想政治及廉政教育。积极为党员、群众服务，开展“微心愿”党员志愿者活动。发挥新思想讲师团作用。利用中心各个功能室优势，提供场所，合理有效的开展中心工作。</w:t>
      </w:r>
    </w:p>
    <w:p>
      <w:pPr>
        <w:ind w:firstLine="640" w:firstLineChars="200"/>
        <w:rPr>
          <w:rFonts w:hint="eastAsia" w:ascii="楷体" w:hAnsi="楷体" w:eastAsia="仿宋" w:cstheme="minorEastAsia"/>
          <w:bCs/>
          <w:color w:val="000000" w:themeColor="text1"/>
          <w:sz w:val="32"/>
          <w:szCs w:val="32"/>
          <w:lang w:val="en-US"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2021年党建服务运行经费7万元。为全县基层组织、党员开展党史教育、仪式教育、组织生活标准化教育、思想政治及廉政教育。积极为党员、群众服务，开展“微心愿”党员志愿者活动。发挥新思想讲师团作用。利用中心各个功能室优势，提供场所，合理有效的开展中心工作。</w:t>
      </w:r>
      <w:r>
        <w:rPr>
          <w:rFonts w:hint="eastAsia" w:ascii="仿宋" w:hAnsi="仿宋" w:eastAsia="仿宋" w:cs="仿宋_GB2312"/>
          <w:color w:val="000000" w:themeColor="text1"/>
          <w:sz w:val="32"/>
          <w:szCs w:val="32"/>
          <w:lang w:val="en-US" w:eastAsia="zh-CN"/>
          <w14:textFill>
            <w14:solidFill>
              <w14:schemeClr w14:val="tx1"/>
            </w14:solidFill>
          </w14:textFill>
        </w:rPr>
        <w:t>并</w:t>
      </w:r>
      <w:r>
        <w:rPr>
          <w:rFonts w:hint="eastAsia" w:ascii="仿宋" w:hAnsi="仿宋" w:eastAsia="仿宋" w:cs="仿宋_GB2312"/>
          <w:color w:val="000000" w:themeColor="text1"/>
          <w:sz w:val="32"/>
          <w:szCs w:val="32"/>
          <w14:textFill>
            <w14:solidFill>
              <w14:schemeClr w14:val="tx1"/>
            </w14:solidFill>
          </w14:textFill>
        </w:rPr>
        <w:t>补充2022年党建服务中心项目经费</w:t>
      </w:r>
      <w:r>
        <w:rPr>
          <w:rFonts w:hint="eastAsia" w:ascii="仿宋" w:hAnsi="仿宋" w:eastAsia="仿宋" w:cs="仿宋_GB2312"/>
          <w:color w:val="000000" w:themeColor="text1"/>
          <w:sz w:val="32"/>
          <w:szCs w:val="32"/>
          <w:lang w:eastAsia="zh-CN"/>
          <w14:textFill>
            <w14:solidFill>
              <w14:schemeClr w14:val="tx1"/>
            </w14:solidFill>
          </w14:textFill>
        </w:rPr>
        <w:t>。</w:t>
      </w:r>
    </w:p>
    <w:p>
      <w:pPr>
        <w:numPr>
          <w:ilvl w:val="0"/>
          <w:numId w:val="2"/>
        </w:numPr>
        <w:ind w:left="1360" w:leftChars="0" w:hanging="720" w:firstLineChars="0"/>
        <w:rPr>
          <w:rFonts w:hint="eastAsia" w:ascii="楷体" w:hAnsi="楷体" w:eastAsia="楷体" w:cstheme="minorEastAsia"/>
          <w:bCs/>
          <w:sz w:val="32"/>
          <w:szCs w:val="32"/>
        </w:rPr>
      </w:pPr>
      <w:r>
        <w:rPr>
          <w:rFonts w:hint="eastAsia" w:ascii="楷体" w:hAnsi="楷体" w:eastAsia="楷体" w:cstheme="minorEastAsia"/>
          <w:bCs/>
          <w:sz w:val="32"/>
          <w:szCs w:val="32"/>
        </w:rPr>
        <w:t>国有资产占有使用情况</w:t>
      </w:r>
    </w:p>
    <w:p>
      <w:pPr>
        <w:ind w:firstLine="636"/>
        <w:rPr>
          <w:rFonts w:hint="eastAsia" w:ascii="仿宋_GB2312" w:hAnsi="仿宋" w:eastAsia="仿宋_GB2312"/>
          <w:sz w:val="32"/>
          <w:szCs w:val="32"/>
        </w:rPr>
      </w:pPr>
      <w:r>
        <w:rPr>
          <w:rFonts w:hint="eastAsia" w:ascii="仿宋_GB2312" w:hAnsi="仿宋" w:eastAsia="仿宋_GB2312"/>
          <w:sz w:val="32"/>
          <w:szCs w:val="32"/>
        </w:rPr>
        <w:t>1、车辆情况</w:t>
      </w:r>
    </w:p>
    <w:p>
      <w:pPr>
        <w:ind w:firstLine="636"/>
        <w:rPr>
          <w:rFonts w:hint="eastAsia" w:ascii="仿宋_GB2312" w:hAnsi="仿宋" w:eastAsia="仿宋_GB2312"/>
          <w:sz w:val="32"/>
          <w:szCs w:val="32"/>
          <w:lang w:eastAsia="zh-CN"/>
        </w:rPr>
      </w:pPr>
      <w:r>
        <w:rPr>
          <w:rFonts w:hint="eastAsia" w:ascii="仿宋" w:hAnsi="仿宋" w:eastAsia="仿宋"/>
          <w:sz w:val="32"/>
          <w:szCs w:val="32"/>
          <w:lang w:eastAsia="zh-CN"/>
        </w:rPr>
        <w:t>无。</w:t>
      </w:r>
    </w:p>
    <w:p>
      <w:pPr>
        <w:numPr>
          <w:ilvl w:val="0"/>
          <w:numId w:val="3"/>
        </w:numPr>
        <w:ind w:firstLine="636"/>
        <w:rPr>
          <w:rFonts w:hint="eastAsia" w:ascii="仿宋_GB2312" w:hAnsi="仿宋" w:eastAsia="仿宋_GB2312"/>
          <w:sz w:val="32"/>
          <w:szCs w:val="32"/>
        </w:rPr>
      </w:pPr>
      <w:r>
        <w:rPr>
          <w:rFonts w:hint="eastAsia" w:ascii="仿宋_GB2312" w:hAnsi="仿宋" w:eastAsia="仿宋_GB2312"/>
          <w:sz w:val="32"/>
          <w:szCs w:val="32"/>
        </w:rPr>
        <w:t>房屋情况</w:t>
      </w:r>
    </w:p>
    <w:p>
      <w:pPr>
        <w:numPr>
          <w:ilvl w:val="0"/>
          <w:numId w:val="0"/>
        </w:numP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无。</w:t>
      </w:r>
    </w:p>
    <w:p>
      <w:pPr>
        <w:numPr>
          <w:ilvl w:val="0"/>
          <w:numId w:val="3"/>
        </w:numPr>
        <w:ind w:left="0" w:leftChars="0" w:firstLine="636" w:firstLineChars="0"/>
        <w:rPr>
          <w:rFonts w:hint="eastAsia" w:ascii="楷体" w:hAnsi="楷体" w:eastAsia="楷体" w:cstheme="minorEastAsia"/>
          <w:bCs/>
          <w:sz w:val="32"/>
          <w:szCs w:val="32"/>
        </w:rPr>
      </w:pPr>
      <w:r>
        <w:rPr>
          <w:rFonts w:hint="eastAsia" w:ascii="仿宋_GB2312" w:hAnsi="仿宋" w:eastAsia="仿宋_GB2312"/>
          <w:sz w:val="32"/>
          <w:szCs w:val="32"/>
        </w:rPr>
        <w:t>其他国有资产占有使用情况</w:t>
      </w:r>
      <w:r>
        <w:rPr>
          <w:rFonts w:hint="eastAsia" w:ascii="仿宋" w:hAnsi="仿宋" w:eastAsia="仿宋"/>
          <w:sz w:val="32"/>
          <w:szCs w:val="32"/>
        </w:rPr>
        <w:t>。</w:t>
      </w:r>
    </w:p>
    <w:p>
      <w:pPr>
        <w:pStyle w:val="4"/>
        <w:widowControl/>
        <w:spacing w:before="150" w:beforeAutospacing="0" w:after="150" w:afterAutospacing="0" w:line="465" w:lineRule="atLeast"/>
        <w:ind w:firstLine="55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截</w:t>
      </w:r>
      <w:r>
        <w:rPr>
          <w:rFonts w:hint="eastAsia" w:ascii="仿宋_GB2312" w:hAnsi="仿宋_GB2312" w:eastAsia="仿宋_GB2312" w:cs="仿宋_GB2312"/>
          <w:sz w:val="32"/>
          <w:szCs w:val="32"/>
          <w:shd w:val="clear" w:color="auto" w:fill="FFFFFF"/>
          <w:lang w:eastAsia="zh-CN"/>
        </w:rPr>
        <w:t>至</w:t>
      </w:r>
      <w:r>
        <w:rPr>
          <w:rFonts w:hint="eastAsia" w:ascii="仿宋_GB2312" w:hAnsi="仿宋_GB2312" w:eastAsia="仿宋_GB2312" w:cs="仿宋_GB2312"/>
          <w:sz w:val="32"/>
          <w:szCs w:val="32"/>
          <w:shd w:val="clear" w:color="auto" w:fill="FFFFFF"/>
        </w:rPr>
        <w:t>20</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年12月31日，本单位资产总额</w:t>
      </w:r>
      <w:r>
        <w:rPr>
          <w:rFonts w:ascii="仿宋_GB2312" w:hAnsi="仿宋_GB2312" w:eastAsia="仿宋_GB2312" w:cs="仿宋_GB2312"/>
          <w:sz w:val="32"/>
          <w:szCs w:val="32"/>
          <w:shd w:val="clear" w:color="auto" w:fill="FFFFFF"/>
        </w:rPr>
        <w:t>2.41</w:t>
      </w:r>
      <w:r>
        <w:rPr>
          <w:rFonts w:hint="eastAsia" w:ascii="仿宋_GB2312" w:hAnsi="仿宋_GB2312" w:eastAsia="仿宋_GB2312" w:cs="仿宋_GB2312"/>
          <w:sz w:val="32"/>
          <w:szCs w:val="32"/>
          <w:shd w:val="clear" w:color="auto" w:fill="FFFFFF"/>
        </w:rPr>
        <w:t>万元，其中流动资产0万元，固定资产</w:t>
      </w:r>
      <w:r>
        <w:rPr>
          <w:rFonts w:ascii="仿宋_GB2312" w:hAnsi="仿宋_GB2312" w:eastAsia="仿宋_GB2312" w:cs="仿宋_GB2312"/>
          <w:sz w:val="32"/>
          <w:szCs w:val="32"/>
          <w:shd w:val="clear" w:color="auto" w:fill="FFFFFF"/>
        </w:rPr>
        <w:t>2.14</w:t>
      </w:r>
      <w:r>
        <w:rPr>
          <w:rFonts w:hint="eastAsia" w:ascii="仿宋_GB2312" w:hAnsi="仿宋_GB2312" w:eastAsia="仿宋_GB2312" w:cs="仿宋_GB2312"/>
          <w:sz w:val="32"/>
          <w:szCs w:val="32"/>
          <w:shd w:val="clear" w:color="auto" w:fill="FFFFFF"/>
        </w:rPr>
        <w:t>万元，在建工程0万元，无形资产</w:t>
      </w:r>
      <w:r>
        <w:rPr>
          <w:rFonts w:ascii="仿宋_GB2312" w:hAnsi="仿宋_GB2312" w:eastAsia="仿宋_GB2312" w:cs="仿宋_GB2312"/>
          <w:sz w:val="32"/>
          <w:szCs w:val="32"/>
          <w:shd w:val="clear" w:color="auto" w:fill="FFFFFF"/>
        </w:rPr>
        <w:t>0.27</w:t>
      </w:r>
      <w:r>
        <w:rPr>
          <w:rFonts w:hint="eastAsia" w:ascii="仿宋_GB2312" w:hAnsi="仿宋_GB2312" w:eastAsia="仿宋_GB2312" w:cs="仿宋_GB2312"/>
          <w:sz w:val="32"/>
          <w:szCs w:val="32"/>
          <w:shd w:val="clear" w:color="auto" w:fill="FFFFFF"/>
        </w:rPr>
        <w:t>万元。固定资产当中，房屋构筑物0万元，汽车0辆0万元，单价200万元以上大型设备价值0万元，其他固定资产0万元。 </w:t>
      </w:r>
    </w:p>
    <w:p>
      <w:pPr>
        <w:pStyle w:val="4"/>
        <w:widowControl/>
        <w:spacing w:before="150" w:beforeAutospacing="0" w:after="150" w:afterAutospacing="0" w:line="465" w:lineRule="atLeast"/>
        <w:ind w:firstLine="555"/>
        <w:jc w:val="both"/>
        <w:rPr>
          <w:rFonts w:ascii="楷体" w:hAnsi="楷体" w:eastAsia="楷体" w:cstheme="minorEastAsia"/>
          <w:bCs/>
          <w:sz w:val="32"/>
          <w:szCs w:val="32"/>
        </w:rPr>
      </w:pPr>
      <w:r>
        <w:rPr>
          <w:rFonts w:hint="eastAsia" w:ascii="仿宋_GB2312" w:hAnsi="仿宋_GB2312" w:eastAsia="仿宋_GB2312" w:cs="仿宋_GB2312"/>
          <w:sz w:val="32"/>
          <w:szCs w:val="32"/>
          <w:shd w:val="clear" w:color="auto" w:fill="FFFFFF"/>
        </w:rPr>
        <w:t>与上年相比，本年资产总额增加</w:t>
      </w:r>
      <w:r>
        <w:rPr>
          <w:rFonts w:ascii="仿宋_GB2312" w:hAnsi="仿宋_GB2312" w:eastAsia="仿宋_GB2312" w:cs="仿宋_GB2312"/>
          <w:sz w:val="32"/>
          <w:szCs w:val="32"/>
          <w:shd w:val="clear" w:color="auto" w:fill="FFFFFF"/>
        </w:rPr>
        <w:t>-0.78</w:t>
      </w:r>
      <w:r>
        <w:rPr>
          <w:rFonts w:hint="eastAsia" w:ascii="仿宋_GB2312" w:hAnsi="仿宋_GB2312" w:eastAsia="仿宋_GB2312" w:cs="仿宋_GB2312"/>
          <w:sz w:val="32"/>
          <w:szCs w:val="32"/>
          <w:shd w:val="clear" w:color="auto" w:fill="FFFFFF"/>
        </w:rPr>
        <w:t>万元。 </w:t>
      </w:r>
    </w:p>
    <w:p>
      <w:pPr>
        <w:ind w:firstLine="640" w:firstLineChars="200"/>
        <w:rPr>
          <w:rFonts w:ascii="楷体" w:hAnsi="楷体" w:eastAsia="楷体" w:cs="楷体"/>
          <w:sz w:val="32"/>
          <w:szCs w:val="32"/>
        </w:rPr>
      </w:pPr>
      <w:r>
        <w:rPr>
          <w:rFonts w:hint="eastAsia" w:ascii="楷体" w:hAnsi="楷体" w:eastAsia="楷体" w:cs="楷体"/>
          <w:sz w:val="32"/>
          <w:szCs w:val="32"/>
        </w:rPr>
        <w:t>七、其他说明</w:t>
      </w:r>
    </w:p>
    <w:p>
      <w:pPr>
        <w:ind w:firstLine="640" w:firstLineChars="200"/>
        <w:rPr>
          <w:rFonts w:ascii="仿宋" w:hAnsi="仿宋" w:eastAsia="仿宋" w:cs="楷体"/>
          <w:sz w:val="32"/>
          <w:szCs w:val="32"/>
        </w:rPr>
      </w:pPr>
      <w:r>
        <w:rPr>
          <w:rFonts w:hint="eastAsia" w:ascii="仿宋" w:hAnsi="仿宋" w:eastAsia="仿宋" w:cs="楷体"/>
          <w:sz w:val="32"/>
          <w:szCs w:val="32"/>
        </w:rPr>
        <w:t>无</w:t>
      </w:r>
    </w:p>
    <w:p>
      <w:pPr>
        <w:jc w:val="center"/>
        <w:rPr>
          <w:rFonts w:hint="eastAsia" w:ascii="黑体" w:hAnsi="黑体" w:eastAsia="黑体" w:cstheme="minorEastAsia"/>
          <w:sz w:val="44"/>
          <w:szCs w:val="44"/>
        </w:rPr>
      </w:pPr>
      <w:r>
        <w:rPr>
          <w:rFonts w:hint="eastAsia" w:ascii="黑体" w:hAnsi="黑体" w:eastAsia="黑体" w:cstheme="minorEastAsia"/>
          <w:sz w:val="44"/>
          <w:szCs w:val="44"/>
        </w:rPr>
        <w:t>第三部分  名词解释</w:t>
      </w:r>
    </w:p>
    <w:p>
      <w:pPr>
        <w:jc w:val="center"/>
        <w:rPr>
          <w:rFonts w:hint="eastAsia" w:ascii="黑体" w:hAnsi="黑体" w:eastAsia="黑体" w:cstheme="minorEastAsia"/>
          <w:sz w:val="44"/>
          <w:szCs w:val="44"/>
        </w:rPr>
      </w:pPr>
    </w:p>
    <w:p>
      <w:pPr>
        <w:ind w:firstLine="640" w:firstLineChars="200"/>
        <w:jc w:val="left"/>
        <w:rPr>
          <w:rFonts w:hint="eastAsia" w:ascii="黑体" w:hAnsi="黑体" w:eastAsia="黑体" w:cstheme="minorEastAsia"/>
          <w:sz w:val="44"/>
          <w:szCs w:val="44"/>
        </w:rPr>
      </w:pPr>
      <w:r>
        <w:rPr>
          <w:rFonts w:hint="eastAsia" w:ascii="仿宋_GB2312" w:hAnsi="仿宋" w:eastAsia="仿宋_GB2312"/>
          <w:sz w:val="32"/>
          <w:szCs w:val="32"/>
        </w:rPr>
        <w:t>说明：本项为必须公开内容，可解释本部门预算特有的较为专业的名词，或是财政预算编制方面名词。</w:t>
      </w:r>
    </w:p>
    <w:p>
      <w:pPr>
        <w:widowControl/>
        <w:ind w:firstLine="640" w:firstLineChars="200"/>
        <w:jc w:val="left"/>
        <w:rPr>
          <w:rFonts w:hint="eastAsia" w:ascii="仿宋" w:hAnsi="仿宋" w:eastAsia="仿宋"/>
          <w:sz w:val="32"/>
          <w:szCs w:val="32"/>
        </w:rPr>
      </w:pPr>
      <w:r>
        <w:rPr>
          <w:rFonts w:ascii="仿宋" w:hAnsi="仿宋" w:eastAsia="仿宋" w:cs="黑体"/>
          <w:color w:val="000000"/>
          <w:kern w:val="0"/>
          <w:sz w:val="32"/>
          <w:szCs w:val="32"/>
        </w:rPr>
        <w:t xml:space="preserve"> (</w:t>
      </w:r>
      <w:r>
        <w:rPr>
          <w:rFonts w:hint="eastAsia" w:ascii="仿宋" w:hAnsi="仿宋" w:eastAsia="仿宋" w:cs="黑体"/>
          <w:color w:val="000000"/>
          <w:kern w:val="0"/>
          <w:sz w:val="32"/>
          <w:szCs w:val="32"/>
        </w:rPr>
        <w:t>一)基本支出：</w:t>
      </w:r>
      <w:r>
        <w:rPr>
          <w:rFonts w:hint="eastAsia" w:ascii="仿宋" w:hAnsi="仿宋" w:eastAsia="仿宋" w:cs="仿宋_GB2312"/>
          <w:color w:val="000000"/>
          <w:kern w:val="0"/>
          <w:sz w:val="32"/>
          <w:szCs w:val="32"/>
        </w:rPr>
        <w:t>指为保障机构正常运转、完成日常工作任务 而发生的人员支出和公用支出。</w:t>
      </w:r>
    </w:p>
    <w:p>
      <w:pPr>
        <w:widowControl/>
        <w:ind w:firstLine="640" w:firstLineChars="200"/>
        <w:jc w:val="left"/>
        <w:rPr>
          <w:rFonts w:ascii="仿宋" w:hAnsi="仿宋" w:eastAsia="仿宋"/>
          <w:sz w:val="32"/>
          <w:szCs w:val="32"/>
        </w:rPr>
      </w:pPr>
      <w:r>
        <w:rPr>
          <w:rFonts w:hint="eastAsia" w:ascii="仿宋" w:hAnsi="仿宋" w:eastAsia="仿宋" w:cs="黑体"/>
          <w:color w:val="000000"/>
          <w:kern w:val="0"/>
          <w:sz w:val="32"/>
          <w:szCs w:val="32"/>
        </w:rPr>
        <w:t>（二）项目支出：</w:t>
      </w:r>
      <w:r>
        <w:rPr>
          <w:rFonts w:hint="eastAsia" w:ascii="仿宋" w:hAnsi="仿宋" w:eastAsia="仿宋" w:cs="仿宋_GB2312"/>
          <w:color w:val="000000"/>
          <w:kern w:val="0"/>
          <w:sz w:val="32"/>
          <w:szCs w:val="32"/>
        </w:rPr>
        <w:t xml:space="preserve">指在基本支出之外为完成特定行政任务和事 业发展目标所发生的支出。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（三）“三公”经费：</w:t>
      </w:r>
      <w:r>
        <w:rPr>
          <w:rFonts w:hint="eastAsia" w:ascii="仿宋" w:hAnsi="仿宋" w:eastAsia="仿宋" w:cs="仿宋_GB2312"/>
          <w:color w:val="000000"/>
          <w:kern w:val="0"/>
          <w:sz w:val="32"/>
          <w:szCs w:val="32"/>
        </w:rPr>
        <w:t xml:space="preserve">指预算部门用一般公共预算安排的因公 出国（境）费用、公务用车购置及运行费和公务接待费。其中： 因公出国（境）费用反映单位公务出国（境）的国际旅费、国外城市间交通费、住宿费、伙食费、培训费、公杂费等支出；公务 用车购置费反映公务用车购置支出（含车辆购置税、牌照费）； 公务用车运行维护费反映单位按规定保留的公务用车燃料费、维修费、过路过桥费、保险费、安全奖励费用等支出；公务接待费反映机关和参公事业单位按规定开支的各类公务接待（含外宾接待）支出。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（四）机关运行经费：</w:t>
      </w:r>
      <w:r>
        <w:rPr>
          <w:rFonts w:hint="eastAsia" w:ascii="仿宋" w:hAnsi="仿宋" w:eastAsia="仿宋" w:cs="仿宋_GB2312"/>
          <w:color w:val="000000"/>
          <w:kern w:val="0"/>
          <w:sz w:val="32"/>
          <w:szCs w:val="32"/>
        </w:rPr>
        <w:t xml:space="preserve">指行政单位和参照公务员法管理的事业 </w:t>
      </w:r>
    </w:p>
    <w:p>
      <w:pPr>
        <w:widowControl/>
        <w:jc w:val="left"/>
        <w:rPr>
          <w:rFonts w:ascii="仿宋" w:hAnsi="仿宋" w:eastAsia="仿宋"/>
          <w:sz w:val="32"/>
          <w:szCs w:val="32"/>
        </w:rPr>
      </w:pPr>
      <w:r>
        <w:rPr>
          <w:rFonts w:hint="eastAsia" w:ascii="仿宋" w:hAnsi="仿宋" w:eastAsia="仿宋" w:cs="仿宋_GB2312"/>
          <w:color w:val="000000"/>
          <w:kern w:val="0"/>
          <w:sz w:val="32"/>
          <w:szCs w:val="32"/>
        </w:rPr>
        <w:t xml:space="preserve">单位使用一般公共预算财政拨款安排的基本支出中的公用经费支出。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（五）政府购买服务：</w:t>
      </w:r>
      <w:r>
        <w:rPr>
          <w:rFonts w:hint="eastAsia" w:ascii="仿宋" w:hAnsi="仿宋" w:eastAsia="仿宋" w:cs="仿宋_GB2312"/>
          <w:color w:val="000000"/>
          <w:kern w:val="0"/>
          <w:sz w:val="32"/>
          <w:szCs w:val="32"/>
        </w:rPr>
        <w:t xml:space="preserve">根据我国现行政策规定，政府购买服务， </w:t>
      </w:r>
    </w:p>
    <w:p>
      <w:pPr>
        <w:widowControl/>
        <w:jc w:val="left"/>
        <w:rPr>
          <w:rFonts w:ascii="仿宋" w:hAnsi="仿宋" w:eastAsia="仿宋"/>
          <w:sz w:val="32"/>
          <w:szCs w:val="32"/>
        </w:rPr>
      </w:pPr>
      <w:r>
        <w:rPr>
          <w:rFonts w:hint="eastAsia" w:ascii="仿宋" w:hAnsi="仿宋" w:eastAsia="仿宋" w:cs="仿宋_GB2312"/>
          <w:color w:val="000000"/>
          <w:kern w:val="0"/>
          <w:sz w:val="32"/>
          <w:szCs w:val="32"/>
        </w:rPr>
        <w:t xml:space="preserve">是指充分发挥市场机制作用，将国家机关属于自身职责范围且适合通过市场化方式提供的服务事项，按照政府采购方式和程序，交由符合条件的服务供应商承担，并根据服务数量和质量等情况 向其支付费用的行为。 </w:t>
      </w:r>
    </w:p>
    <w:p>
      <w:pPr>
        <w:widowControl/>
        <w:ind w:firstLine="640" w:firstLineChars="200"/>
        <w:jc w:val="left"/>
        <w:rPr>
          <w:rFonts w:ascii="仿宋" w:hAnsi="仿宋" w:eastAsia="仿宋"/>
          <w:sz w:val="32"/>
          <w:szCs w:val="32"/>
        </w:rPr>
      </w:pPr>
      <w:r>
        <w:rPr>
          <w:rFonts w:hint="eastAsia" w:ascii="仿宋" w:hAnsi="仿宋" w:eastAsia="仿宋" w:cs="黑体"/>
          <w:color w:val="000000"/>
          <w:kern w:val="0"/>
          <w:sz w:val="32"/>
          <w:szCs w:val="32"/>
        </w:rPr>
        <w:t>(六)一般公共预算：</w:t>
      </w:r>
      <w:r>
        <w:rPr>
          <w:rFonts w:hint="eastAsia" w:ascii="仿宋" w:hAnsi="仿宋" w:eastAsia="仿宋" w:cs="仿宋_GB2312"/>
          <w:color w:val="000000"/>
          <w:kern w:val="0"/>
          <w:sz w:val="32"/>
          <w:szCs w:val="32"/>
        </w:rPr>
        <w:t xml:space="preserve">是指以税收为主体的财政收入，安排用 于保障和改善民生、推动经济社会发展、维护国家安全、维持国家机构正常运转等方面的收支预算。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（七）政府性基金预算：</w:t>
      </w:r>
      <w:r>
        <w:rPr>
          <w:rFonts w:hint="eastAsia" w:ascii="仿宋" w:hAnsi="仿宋" w:eastAsia="仿宋" w:cs="仿宋_GB2312"/>
          <w:color w:val="000000"/>
          <w:kern w:val="0"/>
          <w:sz w:val="32"/>
          <w:szCs w:val="32"/>
        </w:rPr>
        <w:t xml:space="preserve">是对依照法律、行政法规的规定在一 定期限内向特定对象征收、收取或者以其他方式筹集的资金，专项用于特定公共事业发展的收支预算。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（八）国有资本经营预算：</w:t>
      </w:r>
      <w:r>
        <w:rPr>
          <w:rFonts w:hint="eastAsia" w:ascii="仿宋" w:hAnsi="仿宋" w:eastAsia="仿宋" w:cs="仿宋_GB2312"/>
          <w:color w:val="000000"/>
          <w:kern w:val="0"/>
          <w:sz w:val="32"/>
          <w:szCs w:val="32"/>
        </w:rPr>
        <w:t xml:space="preserve">是对国有资本收益作出支出安排的 收支预算。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（九）单位资金：</w:t>
      </w:r>
      <w:r>
        <w:rPr>
          <w:rFonts w:hint="eastAsia" w:ascii="仿宋" w:hAnsi="仿宋" w:eastAsia="仿宋" w:cs="仿宋_GB2312"/>
          <w:color w:val="000000"/>
          <w:kern w:val="0"/>
          <w:sz w:val="32"/>
          <w:szCs w:val="32"/>
        </w:rPr>
        <w:t xml:space="preserve">是指除政府预算资金以外的资金，包括事业 收入、事业单位经营收入、上级补助收入、附属单位上缴收入、 其他收入。 </w:t>
      </w:r>
    </w:p>
    <w:p>
      <w:pPr>
        <w:widowControl/>
        <w:ind w:firstLine="480" w:firstLineChars="150"/>
        <w:jc w:val="left"/>
        <w:rPr>
          <w:rFonts w:ascii="仿宋" w:hAnsi="仿宋" w:eastAsia="仿宋"/>
          <w:sz w:val="32"/>
          <w:szCs w:val="32"/>
        </w:rPr>
      </w:pPr>
      <w:r>
        <w:rPr>
          <w:rFonts w:hint="eastAsia" w:ascii="仿宋" w:hAnsi="仿宋" w:eastAsia="仿宋" w:cs="黑体"/>
          <w:color w:val="000000"/>
          <w:kern w:val="0"/>
          <w:sz w:val="32"/>
          <w:szCs w:val="32"/>
        </w:rPr>
        <w:t>（十）上年结转：</w:t>
      </w:r>
      <w:r>
        <w:rPr>
          <w:rFonts w:hint="eastAsia" w:ascii="仿宋" w:hAnsi="仿宋" w:eastAsia="仿宋" w:cs="仿宋_GB2312"/>
          <w:color w:val="000000"/>
          <w:kern w:val="0"/>
          <w:sz w:val="32"/>
          <w:szCs w:val="32"/>
        </w:rPr>
        <w:t xml:space="preserve">指以前年度预算安排、结转到本年仍按原规 定用途继续使用的资金。 </w:t>
      </w:r>
    </w:p>
    <w:p>
      <w:pPr>
        <w:ind w:firstLine="640" w:firstLineChars="200"/>
        <w:rPr>
          <w:rFonts w:ascii="仿宋" w:hAnsi="仿宋" w:eastAsia="仿宋" w:cstheme="minorEastAsia"/>
          <w:sz w:val="32"/>
          <w:szCs w:val="32"/>
        </w:rPr>
      </w:pPr>
    </w:p>
    <w:p>
      <w:pPr>
        <w:ind w:firstLine="640" w:firstLineChars="200"/>
        <w:rPr>
          <w:rFonts w:ascii="仿宋" w:hAnsi="仿宋" w:eastAsia="仿宋" w:cstheme="minorEastAsia"/>
          <w:sz w:val="32"/>
          <w:szCs w:val="32"/>
        </w:rPr>
      </w:pPr>
    </w:p>
    <w:p>
      <w:pPr>
        <w:ind w:firstLine="640" w:firstLineChars="200"/>
        <w:rPr>
          <w:rFonts w:ascii="仿宋" w:hAnsi="仿宋" w:eastAsia="仿宋"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abstractNum w:abstractNumId="1">
    <w:nsid w:val="18B21EA9"/>
    <w:multiLevelType w:val="multilevel"/>
    <w:tmpl w:val="18B21EA9"/>
    <w:lvl w:ilvl="0" w:tentative="0">
      <w:start w:val="4"/>
      <w:numFmt w:val="japaneseCounting"/>
      <w:lvlText w:val="%1、"/>
      <w:lvlJc w:val="left"/>
      <w:pPr>
        <w:ind w:left="1360" w:hanging="720"/>
      </w:pPr>
      <w:rPr>
        <w:rFonts w:hint="default" w:ascii="楷体" w:hAnsi="楷体" w:eastAsia="楷体"/>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9BD15C5"/>
    <w:multiLevelType w:val="singleLevel"/>
    <w:tmpl w:val="79BD15C5"/>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mIwNGNmNzE4MGY1NGM4ZjA4MzAxMmM1Y2M2ZjIifQ=="/>
  </w:docVars>
  <w:rsids>
    <w:rsidRoot w:val="48E87EB6"/>
    <w:rsid w:val="0001019D"/>
    <w:rsid w:val="000B6F6B"/>
    <w:rsid w:val="000C3BDD"/>
    <w:rsid w:val="0011026C"/>
    <w:rsid w:val="00114DA6"/>
    <w:rsid w:val="00121209"/>
    <w:rsid w:val="001243DB"/>
    <w:rsid w:val="001330DE"/>
    <w:rsid w:val="001C0185"/>
    <w:rsid w:val="001D1AFB"/>
    <w:rsid w:val="002A78F3"/>
    <w:rsid w:val="002B74C9"/>
    <w:rsid w:val="003343CB"/>
    <w:rsid w:val="00356142"/>
    <w:rsid w:val="004742FA"/>
    <w:rsid w:val="00481790"/>
    <w:rsid w:val="005F2480"/>
    <w:rsid w:val="00643BE9"/>
    <w:rsid w:val="00696E76"/>
    <w:rsid w:val="006A3996"/>
    <w:rsid w:val="00751A1A"/>
    <w:rsid w:val="00760ADC"/>
    <w:rsid w:val="007634B0"/>
    <w:rsid w:val="007D4FE8"/>
    <w:rsid w:val="00806E84"/>
    <w:rsid w:val="00811173"/>
    <w:rsid w:val="00835152"/>
    <w:rsid w:val="008524E1"/>
    <w:rsid w:val="00856251"/>
    <w:rsid w:val="008934C9"/>
    <w:rsid w:val="008C542A"/>
    <w:rsid w:val="008D5CA9"/>
    <w:rsid w:val="008E6D79"/>
    <w:rsid w:val="009436C0"/>
    <w:rsid w:val="009B6471"/>
    <w:rsid w:val="009D2370"/>
    <w:rsid w:val="00A61D97"/>
    <w:rsid w:val="00AB4E58"/>
    <w:rsid w:val="00AF7082"/>
    <w:rsid w:val="00B20E14"/>
    <w:rsid w:val="00B2787F"/>
    <w:rsid w:val="00B43C10"/>
    <w:rsid w:val="00B84099"/>
    <w:rsid w:val="00B91AA6"/>
    <w:rsid w:val="00BA6513"/>
    <w:rsid w:val="00BD7E57"/>
    <w:rsid w:val="00BF77DB"/>
    <w:rsid w:val="00C91007"/>
    <w:rsid w:val="00CC30DB"/>
    <w:rsid w:val="00CF14FA"/>
    <w:rsid w:val="00D05A2A"/>
    <w:rsid w:val="00D25442"/>
    <w:rsid w:val="00DA2581"/>
    <w:rsid w:val="00E74CEE"/>
    <w:rsid w:val="00E74F60"/>
    <w:rsid w:val="00FC138C"/>
    <w:rsid w:val="00FD2884"/>
    <w:rsid w:val="00FE3EC9"/>
    <w:rsid w:val="014A06B6"/>
    <w:rsid w:val="01742A72"/>
    <w:rsid w:val="0188177C"/>
    <w:rsid w:val="01DA336E"/>
    <w:rsid w:val="028C5235"/>
    <w:rsid w:val="03514F8E"/>
    <w:rsid w:val="0371751B"/>
    <w:rsid w:val="03D62415"/>
    <w:rsid w:val="0483755B"/>
    <w:rsid w:val="04F34788"/>
    <w:rsid w:val="05E42E29"/>
    <w:rsid w:val="061E09E3"/>
    <w:rsid w:val="06A43BA7"/>
    <w:rsid w:val="06D87D29"/>
    <w:rsid w:val="07FD447A"/>
    <w:rsid w:val="087A6196"/>
    <w:rsid w:val="08DF6890"/>
    <w:rsid w:val="0AE332A4"/>
    <w:rsid w:val="0C5A5250"/>
    <w:rsid w:val="0C64513E"/>
    <w:rsid w:val="0DC26C86"/>
    <w:rsid w:val="0DE649EC"/>
    <w:rsid w:val="0E845309"/>
    <w:rsid w:val="0EE25EB1"/>
    <w:rsid w:val="0F555F86"/>
    <w:rsid w:val="0F8A3A42"/>
    <w:rsid w:val="101F25A9"/>
    <w:rsid w:val="106A5EA2"/>
    <w:rsid w:val="108E4A90"/>
    <w:rsid w:val="10CB3E8D"/>
    <w:rsid w:val="10EC4D92"/>
    <w:rsid w:val="118D081E"/>
    <w:rsid w:val="11F35FF2"/>
    <w:rsid w:val="122F36EA"/>
    <w:rsid w:val="1451251A"/>
    <w:rsid w:val="145A432D"/>
    <w:rsid w:val="15E04899"/>
    <w:rsid w:val="179A58B8"/>
    <w:rsid w:val="17F11B81"/>
    <w:rsid w:val="192A397A"/>
    <w:rsid w:val="1B4A6025"/>
    <w:rsid w:val="1C52262B"/>
    <w:rsid w:val="1DF453AF"/>
    <w:rsid w:val="1E107510"/>
    <w:rsid w:val="1E643EFE"/>
    <w:rsid w:val="20150822"/>
    <w:rsid w:val="206E28A5"/>
    <w:rsid w:val="209E0EC3"/>
    <w:rsid w:val="21056C08"/>
    <w:rsid w:val="22140CC1"/>
    <w:rsid w:val="24D63713"/>
    <w:rsid w:val="276C5598"/>
    <w:rsid w:val="27E13B85"/>
    <w:rsid w:val="28EC0A8D"/>
    <w:rsid w:val="2A937DAC"/>
    <w:rsid w:val="2B1377D0"/>
    <w:rsid w:val="2B1817B3"/>
    <w:rsid w:val="2B1B1555"/>
    <w:rsid w:val="2BE2765A"/>
    <w:rsid w:val="2C601FE6"/>
    <w:rsid w:val="2DB60033"/>
    <w:rsid w:val="2E992250"/>
    <w:rsid w:val="2F754CA8"/>
    <w:rsid w:val="2FB928F6"/>
    <w:rsid w:val="31106CCF"/>
    <w:rsid w:val="31DF648F"/>
    <w:rsid w:val="324033FF"/>
    <w:rsid w:val="32752F26"/>
    <w:rsid w:val="32844BEA"/>
    <w:rsid w:val="32EA6966"/>
    <w:rsid w:val="3343624F"/>
    <w:rsid w:val="33A80308"/>
    <w:rsid w:val="341824CB"/>
    <w:rsid w:val="343F3937"/>
    <w:rsid w:val="347B23A3"/>
    <w:rsid w:val="34974D1C"/>
    <w:rsid w:val="34D53928"/>
    <w:rsid w:val="350A042E"/>
    <w:rsid w:val="36242361"/>
    <w:rsid w:val="36870474"/>
    <w:rsid w:val="36C61131"/>
    <w:rsid w:val="37015ED3"/>
    <w:rsid w:val="39E01B38"/>
    <w:rsid w:val="3A273847"/>
    <w:rsid w:val="3A983EF9"/>
    <w:rsid w:val="3AF3492E"/>
    <w:rsid w:val="3C6838F4"/>
    <w:rsid w:val="3E7E2DD9"/>
    <w:rsid w:val="3F5C42DA"/>
    <w:rsid w:val="40927AB7"/>
    <w:rsid w:val="40966AAC"/>
    <w:rsid w:val="43E475B8"/>
    <w:rsid w:val="44F81C91"/>
    <w:rsid w:val="458B37F5"/>
    <w:rsid w:val="461D0B5B"/>
    <w:rsid w:val="467D2DBE"/>
    <w:rsid w:val="47037398"/>
    <w:rsid w:val="47701875"/>
    <w:rsid w:val="48832669"/>
    <w:rsid w:val="48E87EB6"/>
    <w:rsid w:val="4A4F3891"/>
    <w:rsid w:val="4AFA4BB2"/>
    <w:rsid w:val="4B5504B4"/>
    <w:rsid w:val="4D9B3CEE"/>
    <w:rsid w:val="4E763829"/>
    <w:rsid w:val="4EBA5260"/>
    <w:rsid w:val="514D4376"/>
    <w:rsid w:val="522F50B0"/>
    <w:rsid w:val="52567629"/>
    <w:rsid w:val="5325636B"/>
    <w:rsid w:val="533C5B9C"/>
    <w:rsid w:val="538B472C"/>
    <w:rsid w:val="54684C83"/>
    <w:rsid w:val="54EC3FE9"/>
    <w:rsid w:val="563649ED"/>
    <w:rsid w:val="578E1A66"/>
    <w:rsid w:val="57EC46C9"/>
    <w:rsid w:val="582B68F4"/>
    <w:rsid w:val="5C127675"/>
    <w:rsid w:val="5C4E0B59"/>
    <w:rsid w:val="5D083F24"/>
    <w:rsid w:val="5D306324"/>
    <w:rsid w:val="5DFE5DA5"/>
    <w:rsid w:val="5E0B45F3"/>
    <w:rsid w:val="607B6B9F"/>
    <w:rsid w:val="60860A87"/>
    <w:rsid w:val="60B46440"/>
    <w:rsid w:val="60F50493"/>
    <w:rsid w:val="61C6166E"/>
    <w:rsid w:val="61DB467D"/>
    <w:rsid w:val="63180E83"/>
    <w:rsid w:val="635C762A"/>
    <w:rsid w:val="63A23210"/>
    <w:rsid w:val="64254C2C"/>
    <w:rsid w:val="644657EB"/>
    <w:rsid w:val="65FD0423"/>
    <w:rsid w:val="6A0A1908"/>
    <w:rsid w:val="6FD93AE0"/>
    <w:rsid w:val="716D3DFA"/>
    <w:rsid w:val="71715484"/>
    <w:rsid w:val="71FC58C7"/>
    <w:rsid w:val="7249546B"/>
    <w:rsid w:val="729F0AAD"/>
    <w:rsid w:val="74400598"/>
    <w:rsid w:val="75AE7480"/>
    <w:rsid w:val="75F45C0F"/>
    <w:rsid w:val="76592DF8"/>
    <w:rsid w:val="76850A2D"/>
    <w:rsid w:val="781E2312"/>
    <w:rsid w:val="79AF6941"/>
    <w:rsid w:val="7A0F5FC3"/>
    <w:rsid w:val="7C7014AB"/>
    <w:rsid w:val="7DD1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BC54-E4BB-4482-9170-8388DA3FE9BE}">
  <ds:schemaRefs/>
</ds:datastoreItem>
</file>

<file path=docProps/app.xml><?xml version="1.0" encoding="utf-8"?>
<Properties xmlns="http://schemas.openxmlformats.org/officeDocument/2006/extended-properties" xmlns:vt="http://schemas.openxmlformats.org/officeDocument/2006/docPropsVTypes">
  <Template>Normal</Template>
  <Pages>9</Pages>
  <Words>3221</Words>
  <Characters>3434</Characters>
  <Lines>24</Lines>
  <Paragraphs>6</Paragraphs>
  <TotalTime>19</TotalTime>
  <ScaleCrop>false</ScaleCrop>
  <LinksUpToDate>false</LinksUpToDate>
  <CharactersWithSpaces>3482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djfwzx02</cp:lastModifiedBy>
  <cp:lastPrinted>2022-03-17T02:45:00Z</cp:lastPrinted>
  <dcterms:modified xsi:type="dcterms:W3CDTF">2023-05-18T03:28:44Z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E9FEF8F1090D497B9DE76A99CBD9D8DA_13</vt:lpwstr>
  </property>
</Properties>
</file>