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襄垣县财政局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关于2022年度法治政府建设情况的报告</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黑体" w:hAnsi="黑体" w:eastAsia="黑体" w:cs="黑体"/>
          <w:color w:val="000000"/>
          <w:spacing w:val="0"/>
          <w:w w:val="100"/>
          <w:kern w:val="0"/>
          <w:position w:val="0"/>
          <w:sz w:val="32"/>
          <w:szCs w:val="32"/>
          <w:shd w:val="clear" w:color="auto" w:fill="auto"/>
          <w:lang w:val="en-US" w:eastAsia="zh-CN" w:bidi="en-US"/>
        </w:rPr>
      </w:pP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2022年，我局认真落实县委、县政府关于法治建设精神，深入贯彻依法治县战略部署，以习近平新时代中国特色社会主义思想统揽全局，全面贯彻党的二十大精神，紧紧围绕全县高质量转型发展，着力提高财政系统领导干部和行政执法人</w:t>
      </w:r>
      <w:bookmarkStart w:id="0" w:name="_GoBack"/>
      <w:bookmarkEnd w:id="0"/>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员的法律素质，为我县财政事业的发展提供坚实的法治保障</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default" w:ascii="黑体" w:hAnsi="黑体" w:eastAsia="黑体" w:cs="黑体"/>
          <w:color w:val="000000"/>
          <w:spacing w:val="0"/>
          <w:w w:val="100"/>
          <w:kern w:val="0"/>
          <w:position w:val="0"/>
          <w:sz w:val="32"/>
          <w:szCs w:val="32"/>
          <w:shd w:val="clear" w:color="auto" w:fill="auto"/>
          <w:lang w:val="en-US" w:eastAsia="zh-CN" w:bidi="en-US"/>
        </w:rPr>
      </w:pPr>
      <w:r>
        <w:rPr>
          <w:rFonts w:hint="eastAsia" w:ascii="黑体" w:hAnsi="黑体" w:eastAsia="黑体" w:cs="黑体"/>
          <w:color w:val="000000"/>
          <w:spacing w:val="0"/>
          <w:w w:val="100"/>
          <w:kern w:val="0"/>
          <w:position w:val="0"/>
          <w:sz w:val="32"/>
          <w:szCs w:val="32"/>
          <w:shd w:val="clear" w:color="auto" w:fill="auto"/>
          <w:lang w:val="en-US" w:eastAsia="zh-CN" w:bidi="en-US"/>
        </w:rPr>
        <w:t>一、主要举措和成效</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（一）强化组织领导</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我局全面落实上级关于法治建设决策部署和县委、县政府关于法治建设工作要求，明确了单位党政主要负责人为第一责任人，组织召开专题会议，研究部署法治建设、行政执法监督、法治宣传等方面工作。坚持以政领财，以财辅政，通过找准党风廉政建设和财政预算管理改革的结合点，狠抓作风建设构建常态长效机制，持之以恒强化法治建设，持续涵养良好政治生态。</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（二）健全工作机制</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组织班子成员召开专题进行研究部署，进一步要求各业务股、室、中心结合工作职责，通过监察执法、法治教育与集中宣传等活动，创新普法方式，细化实施方案，进一步落实“谁执法谁普法”的普法责任制，确保“八五”普法工作平稳有序推进。同时，充分调动广大干部的工作热情和奋斗精神，优化财政队伍建设，积极推进股级干部轮岗交流制度。轮岗交流主要以业务股室和人、财、物等廉政高风险岗位以及需要丰富阅历、有发展潜力的股级干部为交流重点，特别是注重涉及民生领域的业务股室和机关内部关键岗位的轮岗交流，既加强了机关党风廉政建设，又加大了优秀人才培养力度，进一步巩固了机关风险防控和干部监督管理，形成了财政队伍健康成长的良好环境。</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default"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（三）严守债务底线</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今年以来，在县委、县政府的正确领导下，我局坚持对政府债务实行规模控制和预算管理，在严控项目上下功夫，在增加收入上做文章，在防范风险上出实招，牢牢构筑政府举债的“防火墙”，在限额内用活用好债务资金，充分发挥政府债券资金作用支持推进了县域经济健康发展。2022年上级核定我县地方政府债务限额27.0982亿元，其中：一般债务限额18.0532亿元，专项债务限额9.045亿元。目前，我县政府债务余额为26.9468亿元，其中：一般债务余额18.0518亿元，专项债务余额8.895亿元，未突破上级核定的债务限额，未发生债务风险事件。按债务期限来看，三年期20265万元，五年期32250万元，七年期65865万元，十年期79138万元，十五年期70050万元，二十年期1900万元。</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（四）紧抓法治教育</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我局坚持把法治教育培训作为一项必备的重要内容，在日常工作中坚持法治学习。定期组织普法教育和法治宣传员培训，认真开展好“法治进机关”活动，主要围绕预算编制、会计教育、监督处罚等各项财政工作职责开展普法培训，不断拓宽干部职工的法律知识面，提高依法行政水平，促进财政工作更好地服务襄垣县经济社会跨越式发展。</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（五）创新普法形式</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积极组织开展多种形式的法治宣传教育实践活动，我局充分利用“主题党日+”活动、微信群、LED显示屏等载体，大力宣传预算法、会计法等法律法规。充分利用“4.26”世界知识产权日、“12.4”全国法治宣传日等重要节日，大规模地开展财政相关法律法规的宣传。通过设置咨询服务台、设置宣传标语、发放宣传资料、召开专题座谈会、举办培训班等多种形式进行普法宣传教育。通过积极的普法宣传教育，社会各方面对财政相关法律法规的认识度越来越高，法治化环境进一步得到改善。</w:t>
      </w:r>
    </w:p>
    <w:p>
      <w:pPr>
        <w:keepNext w:val="0"/>
        <w:keepLines w:val="0"/>
        <w:pageBreakBefore w:val="0"/>
        <w:widowControl w:val="0"/>
        <w:shd w:val="clear" w:color="auto" w:fill="auto"/>
        <w:tabs>
          <w:tab w:val="left" w:pos="54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pPr>
      <w:r>
        <w:rPr>
          <w:rFonts w:hint="eastAsia" w:ascii="楷体_GB2312" w:hAnsi="楷体_GB2312" w:eastAsia="楷体_GB2312" w:cs="楷体_GB2312"/>
          <w:color w:val="000000"/>
          <w:spacing w:val="0"/>
          <w:w w:val="100"/>
          <w:kern w:val="0"/>
          <w:position w:val="0"/>
          <w:sz w:val="32"/>
          <w:szCs w:val="32"/>
          <w:shd w:val="clear" w:color="auto" w:fill="auto"/>
          <w:lang w:val="en-US" w:eastAsia="zh-CN" w:bidi="en-US"/>
        </w:rPr>
        <w:t>（六）寓普法于执法之中</w:t>
      </w:r>
    </w:p>
    <w:p>
      <w:pPr>
        <w:keepNext w:val="0"/>
        <w:keepLines w:val="0"/>
        <w:pageBreakBefore w:val="0"/>
        <w:widowControl w:val="0"/>
        <w:numPr>
          <w:ilvl w:val="0"/>
          <w:numId w:val="0"/>
        </w:numPr>
        <w:shd w:val="clear" w:color="auto" w:fill="auto"/>
        <w:tabs>
          <w:tab w:val="left" w:pos="5460"/>
        </w:tabs>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pPr>
      <w:r>
        <w:rPr>
          <w:rFonts w:hint="eastAsia" w:ascii="Times New Roman" w:hAnsi="Times New Roman" w:eastAsia="仿宋_GB2312" w:cs="仿宋_GB2312"/>
          <w:color w:val="000000"/>
          <w:spacing w:val="0"/>
          <w:w w:val="100"/>
          <w:kern w:val="0"/>
          <w:position w:val="0"/>
          <w:sz w:val="32"/>
          <w:szCs w:val="32"/>
          <w:shd w:val="clear" w:color="auto" w:fill="auto"/>
          <w:lang w:val="en-US" w:eastAsia="zh-CN" w:bidi="en-US"/>
        </w:rPr>
        <w:t>把普法与执法检查紧密结合起来，在执法检查过程形成最生动的普法实践，大力促进普法与执法检查的有机融合。将法治宣传渗透进执法检查的各环节、全过程，利用以案释法、现身说法等形式向社会大众和监管对象传播法律、宣传法律，通过深化普法，预防违法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二、工作成绩和亮点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lang w:val="en-US" w:eastAsia="zh-CN"/>
        </w:rPr>
        <w:t>整合</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5+2</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，专班运行预算管理全套流程</w:t>
      </w:r>
      <w:r>
        <w:rPr>
          <w:rFonts w:hint="eastAsia" w:ascii="Times New Roman" w:hAnsi="Times New Roman" w:eastAsia="楷体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紧扣预算管理一体化目标，专门组建以预算管理一体化专班为龙头的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专班，分别是五大团队：预算一体运行团队、收入统筹调度团队、专项监察调研团队、农村综合改革团队、后勤服务保障团队，两大专班：预审支付专班、采购结审专班。班子成员分工挂帅，业务股室全员参与，深入剖析财政运行问题，逐个制定改进措施，细化量化工作任务，制定完善了《襄垣县全过程预算管理流程指引和业务操作规程》，通过梳理业务流程、明确责任边界、量化工作内容、制定审核标准、限时受理办结的办法，多点发力、规范管理、提高效率，推动我县财政高质量发展。同时，面向全社会和全县各预算单位郑重承诺，主动诚恳接受各方监督。</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w:t>
      </w:r>
      <w:r>
        <w:rPr>
          <w:rFonts w:hint="default" w:ascii="楷体_GB2312" w:hAnsi="楷体_GB2312" w:eastAsia="楷体_GB2312" w:cs="楷体_GB2312"/>
          <w:b/>
          <w:bCs/>
          <w:sz w:val="32"/>
          <w:szCs w:val="32"/>
          <w:lang w:val="en-US" w:eastAsia="zh-CN"/>
        </w:rPr>
        <w:t>坚持</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四合一</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，多点发力深度强化监督效能。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整合一支力量。</w:t>
      </w:r>
      <w:r>
        <w:rPr>
          <w:rFonts w:hint="default" w:ascii="Times New Roman" w:hAnsi="Times New Roman" w:eastAsia="仿宋_GB2312" w:cs="Times New Roman"/>
          <w:sz w:val="32"/>
          <w:szCs w:val="32"/>
          <w:lang w:val="en-US" w:eastAsia="zh-CN"/>
        </w:rPr>
        <w:t>抽调精干力量组成财政监察专班，分行业分领域分系统确定工作重点，做到项目运行到哪里，绩效管理同步就跟踪指导到哪里。展开全年常态化、全程伴随式监察指导，专门设立了三个监察小组，每个小组由三名成员和一名具有丰富财政工作经验的监察专员组成</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明确一条思路。</w:t>
      </w:r>
      <w:r>
        <w:rPr>
          <w:rFonts w:hint="default" w:ascii="Times New Roman" w:hAnsi="Times New Roman" w:eastAsia="仿宋_GB2312" w:cs="Times New Roman"/>
          <w:sz w:val="32"/>
          <w:szCs w:val="32"/>
          <w:lang w:val="en-US" w:eastAsia="zh-CN"/>
        </w:rPr>
        <w:t>确立了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上级命题、领导点题、关注难题、合力破题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工作思路，监察专班结合上级财政部门、各级纪委监委、审计下达或需协助完成的检查任务以及各业务股室根据各自业务提出的资金（项目）检查确定调研课题，依程序按期完成检查调研任务，多点发力、形成合力，同时将相关情况形成书面意见上报局里并反馈各业务股室，实现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启动监督计划—开展监督检查—形成结果反馈—推进督促整改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无缝对接和闭环管理。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形成一套方案。</w:t>
      </w:r>
      <w:r>
        <w:rPr>
          <w:rFonts w:hint="default" w:ascii="Times New Roman" w:hAnsi="Times New Roman" w:eastAsia="仿宋_GB2312" w:cs="Times New Roman"/>
          <w:sz w:val="32"/>
          <w:szCs w:val="32"/>
          <w:lang w:val="en-US" w:eastAsia="zh-CN"/>
        </w:rPr>
        <w:t>进一步整合资源、优化结构，明晰职责、强化队伍，细化流程、建章立制，印发了《襄垣县财政局关于加强财政监督职能构建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大监督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长效机制的实施方案》，构建了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全员参与、全面覆盖、全程监控、全系关联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的财政</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大监督</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工作格局，实现了财政日常监督规范化和专项监督常态化，努力为建设清廉财政探索模式路径。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聚焦一批问题。</w:t>
      </w:r>
      <w:r>
        <w:rPr>
          <w:rFonts w:hint="default" w:ascii="Times New Roman" w:hAnsi="Times New Roman" w:eastAsia="仿宋_GB2312" w:cs="Times New Roman"/>
          <w:sz w:val="32"/>
          <w:szCs w:val="32"/>
          <w:lang w:val="en-US" w:eastAsia="zh-CN"/>
        </w:rPr>
        <w:t>紧扣全县各部门单位在预算编制、预算执行、政府采购、绩效管理、项目预决审等方面存在的突出问题，针对性进行调研、监察、服务、指导，对社会舆论广泛关注的热点、难点、痛点、堵点问题，及时进行回应，掌握第一手情况，采集回精确信息，为进一步科学编制预算、提高财政资金使用绩效提供全面科学的决策依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val="en-US" w:eastAsia="zh-CN"/>
        </w:rPr>
        <w:t>运行</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831</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，建章立制常态长效推进作风建设。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今年以来国务院第九次大督查、省市审计部门各类专项审计、上级纪检监察专项整治以及县委常规巡察等各类督查检查中发现财政运行中存在的苗头性、倾向性问题，我们重点抓住制度和人员两个核心，从内外两个方向同时发力，着力健全完善长效机制，用制度规范倒逼管理规范，用长效机制约束业务行为，用从严管理培树职业道德。要求全县财政财会从业人员都要严格遵守和规范运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八制三定一清单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制度体系。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8制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是指：限时办结制、全程追溯制、首办负责制、一次性告知制、优先层级办理制、联席会商督办制、负面清单制、责任追究制；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是指：定标准、定时限、定责任；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是指：《襄垣县财会人员规范从业负面清单》，该清单制订出台了涉及会计专业能力、预算编制执行、预决算编报公示、国库集中支付、政府采购行为、政府投资项目、单位内控制度、职业道德操守、追究处理问责等九项负面清单，通过完善制度、厘清边界来约束、规范财会人员的从业行为和职业素养，从源头上预防廉政风险，确保财政资金和财会人员</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双安全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二、突出问题及产生根源</w:t>
      </w:r>
    </w:p>
    <w:p>
      <w:pPr>
        <w:keepNext w:val="0"/>
        <w:keepLines w:val="0"/>
        <w:pageBreakBefore w:val="0"/>
        <w:widowControl w:val="0"/>
        <w:kinsoku/>
        <w:wordWrap/>
        <w:overflowPunct/>
        <w:topLinePunct w:val="0"/>
        <w:autoSpaceDE w:val="0"/>
        <w:autoSpaceDN w:val="0"/>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（一）作风建设效果持续好转，等靠思想现象凸显。</w:t>
      </w:r>
      <w:r>
        <w:rPr>
          <w:rFonts w:hint="default" w:ascii="Times New Roman" w:hAnsi="Times New Roman" w:eastAsia="仿宋_GB2312" w:cs="Times New Roman"/>
          <w:sz w:val="32"/>
          <w:szCs w:val="32"/>
          <w:lang w:val="en-US" w:eastAsia="zh-CN"/>
        </w:rPr>
        <w:t>其具体表现在</w:t>
      </w:r>
      <w:r>
        <w:rPr>
          <w:rFonts w:hint="eastAsia" w:ascii="Times New Roman" w:hAnsi="Times New Roman" w:eastAsia="仿宋_GB2312" w:cs="Times New Roman"/>
          <w:sz w:val="32"/>
          <w:szCs w:val="32"/>
          <w:lang w:val="en-US" w:eastAsia="zh-CN"/>
        </w:rPr>
        <w:t>：自中央八项规定实施以来，我局坚持思想建党和制度建党紧密结合，紧扣重点领域、紧锁关键环节、紧堵关键漏洞，将“严”字贯穿整个作风建设，形成从严治党的长效机制，但正是由于规章制度的完善和责任主体的明确，导致在工作中出现了遇到棘手难题和麻烦问题不敢做、只执行、等靠领导解决的现象，主动意识不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szCs w:val="32"/>
          <w:lang w:val="en-US" w:eastAsia="zh-CN"/>
        </w:rPr>
        <w:t>（二）业务流程不够优化细化，绩效管理流于形式。</w:t>
      </w:r>
      <w:r>
        <w:rPr>
          <w:rFonts w:hint="default" w:ascii="Times New Roman" w:hAnsi="Times New Roman" w:eastAsia="仿宋_GB2312" w:cs="Times New Roman"/>
          <w:sz w:val="32"/>
          <w:szCs w:val="32"/>
          <w:lang w:val="en-US" w:eastAsia="zh-CN"/>
        </w:rPr>
        <w:t>预算管理一体化改革之前，预算编制和执行没有直接关联，部门预算编制系统和预算执行（支付）系统分属两个系统，预算编制质量高低和预算执行关联度不高，已列入年初预算的项目和临时追加的项目在实操上没有明显差别，弱化了预算编制对科学化、精细化的要求，不利于</w:t>
      </w:r>
      <w:r>
        <w:rPr>
          <w:rFonts w:hint="eastAsia" w:ascii="Times New Roman" w:hAnsi="Times New Roman" w:eastAsia="仿宋_GB2312" w:cs="Times New Roman"/>
          <w:sz w:val="32"/>
          <w:szCs w:val="32"/>
          <w:lang w:val="en-US" w:eastAsia="zh-CN"/>
        </w:rPr>
        <w:t>财政高质运转</w:t>
      </w:r>
      <w:r>
        <w:rPr>
          <w:rFonts w:hint="default" w:ascii="Times New Roman" w:hAnsi="Times New Roman" w:eastAsia="仿宋_GB2312" w:cs="Times New Roman"/>
          <w:sz w:val="32"/>
          <w:szCs w:val="32"/>
          <w:lang w:val="en-US" w:eastAsia="zh-CN"/>
        </w:rPr>
        <w:t>。预算管理一体化改革之后，最显著的区别在于将预算编制与预算执行、预算调剂等环节捆绑在一起，形成预算管理的闭环。但在实操中，预算单位普遍反映流程繁琐，环节众多。深层次分析，一是部分单位对部门预算认识不到位，编制部门预算质量不高；二是财政安排布置下年度部门预算时间靠后，造成部门仓促上报、财政草草审核，项目预算、绩效目标、采购预算申报多数流于形式；三是项目预算追加比较频繁，预算编制和执行放在一个时间段操作，人为造成了流程繁琐、环节众多的假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三、2023年法治建设工作思路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仿宋_GB2312" w:eastAsia="仿宋_GB2312"/>
          <w:lang w:val="en-US" w:eastAsia="zh-CN"/>
        </w:rPr>
      </w:pPr>
      <w:r>
        <w:rPr>
          <w:rFonts w:hint="eastAsia" w:ascii="Times New Roman" w:hAnsi="仿宋_GB2312" w:eastAsia="仿宋_GB2312"/>
          <w:lang w:val="en-US" w:eastAsia="zh-CN"/>
        </w:rPr>
        <w:t>2023年</w:t>
      </w:r>
      <w:r>
        <w:rPr>
          <w:rFonts w:hint="eastAsia" w:ascii="Times New Roman" w:hAnsi="仿宋_GB2312" w:eastAsia="仿宋_GB2312"/>
          <w:lang w:val="en-US"/>
        </w:rPr>
        <w:t>，我们</w:t>
      </w:r>
      <w:r>
        <w:rPr>
          <w:rFonts w:hint="eastAsia" w:ascii="Times New Roman" w:hAnsi="仿宋_GB2312" w:eastAsia="仿宋_GB2312"/>
          <w:lang w:val="en-US" w:eastAsia="zh-CN"/>
        </w:rPr>
        <w:t>将全面</w:t>
      </w:r>
      <w:r>
        <w:rPr>
          <w:rFonts w:hint="eastAsia" w:ascii="Times New Roman" w:hAnsi="仿宋_GB2312" w:eastAsia="仿宋_GB2312"/>
          <w:lang w:val="en-US"/>
        </w:rPr>
        <w:t>按照</w:t>
      </w:r>
      <w:r>
        <w:rPr>
          <w:rFonts w:hint="eastAsia" w:ascii="Times New Roman" w:hAnsi="仿宋_GB2312" w:eastAsia="仿宋_GB2312"/>
          <w:lang w:val="en-US" w:eastAsia="zh-CN"/>
        </w:rPr>
        <w:t>《襄垣县法治政府建设实施方案（2021—2025年）》</w:t>
      </w:r>
      <w:r>
        <w:rPr>
          <w:rFonts w:hint="eastAsia" w:ascii="Times New Roman" w:hAnsi="仿宋_GB2312" w:eastAsia="仿宋_GB2312"/>
        </w:rPr>
        <w:t>要求</w:t>
      </w:r>
      <w:r>
        <w:rPr>
          <w:rFonts w:hint="eastAsia" w:ascii="Times New Roman" w:hAnsi="仿宋_GB2312" w:eastAsia="仿宋_GB2312"/>
          <w:lang w:eastAsia="zh-CN"/>
        </w:rPr>
        <w:t>，</w:t>
      </w:r>
      <w:r>
        <w:rPr>
          <w:rFonts w:hint="eastAsia" w:ascii="Times New Roman" w:hAnsi="仿宋_GB2312" w:eastAsia="仿宋_GB2312"/>
          <w:lang w:val="en-US" w:eastAsia="zh-CN"/>
        </w:rPr>
        <w:t>结合</w:t>
      </w:r>
      <w:r>
        <w:rPr>
          <w:rFonts w:hint="eastAsia" w:ascii="Times New Roman" w:hAnsi="仿宋_GB2312" w:eastAsia="仿宋_GB2312"/>
        </w:rPr>
        <w:t>清廉</w:t>
      </w:r>
      <w:r>
        <w:rPr>
          <w:rFonts w:hint="eastAsia" w:ascii="Times New Roman" w:hAnsi="仿宋_GB2312" w:eastAsia="仿宋_GB2312"/>
          <w:lang w:val="en-US" w:eastAsia="zh-CN"/>
        </w:rPr>
        <w:t>财政机关建设</w:t>
      </w:r>
      <w:r>
        <w:rPr>
          <w:rFonts w:hint="eastAsia" w:ascii="Times New Roman" w:hAnsi="仿宋_GB2312" w:eastAsia="仿宋_GB2312"/>
        </w:rPr>
        <w:t>，</w:t>
      </w:r>
      <w:r>
        <w:rPr>
          <w:rFonts w:hint="eastAsia" w:ascii="Times New Roman" w:hAnsi="仿宋_GB2312" w:eastAsia="仿宋_GB2312"/>
          <w:lang w:val="en-US" w:eastAsia="zh-CN"/>
        </w:rPr>
        <w:t>根据</w:t>
      </w:r>
      <w:r>
        <w:rPr>
          <w:rFonts w:hint="eastAsia" w:ascii="Times New Roman" w:hAnsi="仿宋_GB2312" w:eastAsia="仿宋_GB2312"/>
          <w:lang w:val="en-US"/>
        </w:rPr>
        <w:t>财政部门</w:t>
      </w:r>
      <w:r>
        <w:rPr>
          <w:rFonts w:hint="eastAsia" w:ascii="Times New Roman" w:hAnsi="仿宋_GB2312" w:eastAsia="仿宋_GB2312"/>
          <w:lang w:val="en-US" w:eastAsia="zh-CN"/>
        </w:rPr>
        <w:t>工作实际，细致梳理分析法治政府建设现状和</w:t>
      </w:r>
      <w:r>
        <w:rPr>
          <w:rFonts w:hint="eastAsia" w:ascii="Times New Roman" w:hAnsi="仿宋_GB2312" w:eastAsia="仿宋_GB2312"/>
        </w:rPr>
        <w:t>预算管理一体化改革</w:t>
      </w:r>
      <w:r>
        <w:rPr>
          <w:rFonts w:hint="eastAsia" w:ascii="Times New Roman" w:hAnsi="仿宋_GB2312" w:eastAsia="仿宋_GB2312"/>
          <w:lang w:val="en-US" w:eastAsia="zh-CN"/>
        </w:rPr>
        <w:t>运行模式</w:t>
      </w:r>
      <w:r>
        <w:rPr>
          <w:rFonts w:hint="eastAsia" w:ascii="Times New Roman" w:hAnsi="仿宋_GB2312" w:eastAsia="仿宋_GB2312"/>
          <w:lang w:eastAsia="zh-CN"/>
        </w:rPr>
        <w:t>，</w:t>
      </w:r>
      <w:r>
        <w:rPr>
          <w:rFonts w:hint="eastAsia" w:ascii="Times New Roman" w:hAnsi="仿宋_GB2312" w:eastAsia="仿宋_GB2312"/>
          <w:lang w:val="en-US" w:eastAsia="zh-CN"/>
        </w:rPr>
        <w:t>坚持问题导向，高位推动清廉机关建设，坚定不移推进全面从严治党向纵深发展，全面提高行政管理水平。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仿宋_GB2312" w:eastAsia="仿宋_GB231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760" w:firstLineChars="1800"/>
        <w:jc w:val="both"/>
        <w:textAlignment w:val="auto"/>
        <w:rPr>
          <w:rFonts w:hint="eastAsia" w:ascii="Times New Roman" w:hAnsi="仿宋_GB2312" w:eastAsia="仿宋_GB2312"/>
          <w:lang w:val="en-US" w:eastAsia="zh-CN"/>
        </w:rPr>
      </w:pPr>
      <w:r>
        <w:rPr>
          <w:rFonts w:hint="eastAsia" w:ascii="Times New Roman" w:hAnsi="仿宋_GB2312" w:eastAsia="仿宋_GB2312"/>
          <w:lang w:val="en-US" w:eastAsia="zh-CN"/>
        </w:rPr>
        <w:t>襄垣县财政局</w:t>
      </w:r>
    </w:p>
    <w:p>
      <w:pPr>
        <w:keepNext w:val="0"/>
        <w:keepLines w:val="0"/>
        <w:pageBreakBefore w:val="0"/>
        <w:widowControl w:val="0"/>
        <w:kinsoku/>
        <w:wordWrap/>
        <w:overflowPunct/>
        <w:topLinePunct w:val="0"/>
        <w:autoSpaceDE/>
        <w:autoSpaceDN/>
        <w:bidi w:val="0"/>
        <w:adjustRightInd/>
        <w:snapToGrid/>
        <w:spacing w:line="576" w:lineRule="exact"/>
        <w:ind w:left="96" w:leftChars="30" w:firstLine="5440" w:firstLineChars="1700"/>
        <w:jc w:val="both"/>
        <w:textAlignment w:val="auto"/>
        <w:rPr>
          <w:rFonts w:hint="default" w:ascii="Times New Roman" w:hAnsi="仿宋_GB2312" w:eastAsia="仿宋_GB2312"/>
          <w:lang w:val="en-US" w:eastAsia="zh-CN"/>
        </w:rPr>
      </w:pPr>
      <w:r>
        <w:rPr>
          <w:rFonts w:hint="eastAsia" w:ascii="Times New Roman" w:hAnsi="仿宋_GB2312" w:eastAsia="仿宋_GB2312"/>
          <w:lang w:val="en-US" w:eastAsia="zh-CN"/>
        </w:rPr>
        <w:t>2023年1月10日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NjFmNjY0YTJjMzVjZWVkMmFlMTUxMDA0OTA4MTAifQ=="/>
  </w:docVars>
  <w:rsids>
    <w:rsidRoot w:val="2B5B5C19"/>
    <w:rsid w:val="0CDF5CB6"/>
    <w:rsid w:val="2A4144C9"/>
    <w:rsid w:val="2B5B5C19"/>
    <w:rsid w:val="35C05902"/>
    <w:rsid w:val="400B273E"/>
    <w:rsid w:val="511F64FB"/>
    <w:rsid w:val="5E2A684C"/>
    <w:rsid w:val="61BB372C"/>
    <w:rsid w:val="67B05656"/>
    <w:rsid w:val="7F0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Times New Roman"/>
      <w:snapToGrid w:val="0"/>
      <w:sz w:val="32"/>
      <w:szCs w:val="32"/>
      <w:lang w:val="zh-CN" w:eastAsia="zh-CN" w:bidi="zh-CN"/>
    </w:rPr>
  </w:style>
  <w:style w:type="paragraph" w:styleId="2">
    <w:name w:val="heading 2"/>
    <w:basedOn w:val="1"/>
    <w:next w:val="1"/>
    <w:qFormat/>
    <w:uiPriority w:val="9"/>
    <w:pPr>
      <w:keepNext/>
      <w:keepLines/>
      <w:spacing w:line="600" w:lineRule="exact"/>
      <w:ind w:firstLine="880"/>
      <w:outlineLvl w:val="1"/>
    </w:pPr>
    <w:rPr>
      <w:rFonts w:ascii="Arial" w:hAnsi="Arial" w:eastAsia="黑体"/>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3568</Words>
  <Characters>3662</Characters>
  <Lines>0</Lines>
  <Paragraphs>0</Paragraphs>
  <TotalTime>11</TotalTime>
  <ScaleCrop>false</ScaleCrop>
  <LinksUpToDate>false</LinksUpToDate>
  <CharactersWithSpaces>3662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2023-01-09T10:04:00Z</dcterms:created>
  <dc:creator>StormEyes侧颜</dc:creator>
  <cp:lastModifiedBy>admin</cp:lastModifiedBy>
  <cp:lastPrinted>2023-01-10T00:39:00Z</cp:lastPrinted>
  <dcterms:modified xsi:type="dcterms:W3CDTF">2023-06-02T09:11:18Z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2AAA57A40DF64D5E8D9D2F812C38E77B</vt:lpwstr>
  </property>
</Properties>
</file>