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9C76B5">
      <w:pPr>
        <w:jc w:val="center"/>
        <w:rPr>
          <w:rFonts w:ascii="宋体" w:hAnsi="宋体" w:eastAsia="宋体"/>
          <w:sz w:val="40"/>
          <w:szCs w:val="40"/>
        </w:rPr>
      </w:pPr>
      <w:r>
        <w:rPr>
          <w:rFonts w:hint="eastAsia" w:ascii="宋体" w:hAnsi="宋体" w:eastAsia="宋体"/>
          <w:sz w:val="40"/>
          <w:szCs w:val="40"/>
        </w:rPr>
        <w:t>襄垣县自然资源局</w:t>
      </w:r>
    </w:p>
    <w:p w14:paraId="71E0043A">
      <w:pPr>
        <w:jc w:val="center"/>
        <w:rPr>
          <w:rFonts w:ascii="宋体" w:hAnsi="宋体" w:eastAsia="宋体"/>
          <w:sz w:val="36"/>
          <w:szCs w:val="36"/>
        </w:rPr>
      </w:pPr>
      <w:r>
        <w:rPr>
          <w:rFonts w:hint="eastAsia" w:ascii="宋体" w:hAnsi="宋体" w:eastAsia="宋体"/>
          <w:sz w:val="36"/>
          <w:szCs w:val="36"/>
        </w:rPr>
        <w:t>关于《襄垣县下良镇南桥烟村CZ-XY-XL-01-NQY-01</w:t>
      </w:r>
      <w:r>
        <w:rPr>
          <w:rFonts w:hint="eastAsia" w:ascii="宋体" w:hAnsi="宋体" w:eastAsia="宋体"/>
          <w:sz w:val="36"/>
          <w:szCs w:val="36"/>
          <w:lang w:eastAsia="zh-CN"/>
        </w:rPr>
        <w:t>地块</w:t>
      </w:r>
      <w:r>
        <w:rPr>
          <w:rFonts w:hint="eastAsia" w:ascii="宋体" w:hAnsi="宋体" w:eastAsia="宋体"/>
          <w:sz w:val="36"/>
          <w:szCs w:val="36"/>
        </w:rPr>
        <w:t>详细规划》的公示</w:t>
      </w:r>
    </w:p>
    <w:p w14:paraId="0189E02A">
      <w:pPr>
        <w:pStyle w:val="5"/>
        <w:numPr>
          <w:ilvl w:val="0"/>
          <w:numId w:val="1"/>
        </w:numPr>
        <w:ind w:firstLineChars="0"/>
        <w:rPr>
          <w:rFonts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区位概况</w:t>
      </w:r>
    </w:p>
    <w:p w14:paraId="7903F89B">
      <w:pPr>
        <w:ind w:firstLine="42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本次控规编制为CZ-XY-XL-01-NQY-01</w:t>
      </w:r>
      <w:r>
        <w:rPr>
          <w:rFonts w:hint="eastAsia" w:ascii="宋体" w:hAnsi="宋体" w:eastAsia="宋体"/>
          <w:sz w:val="28"/>
          <w:szCs w:val="28"/>
          <w:lang w:eastAsia="zh-CN"/>
        </w:rPr>
        <w:t>地块</w:t>
      </w:r>
      <w:r>
        <w:rPr>
          <w:rFonts w:hint="eastAsia"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  <w:lang w:eastAsia="zh-CN"/>
        </w:rPr>
        <w:t>规范范围西至张良大道，东、南、北三侧均至用地边界南桥烟村用地，</w:t>
      </w:r>
      <w:r>
        <w:rPr>
          <w:rFonts w:hint="eastAsia" w:ascii="宋体" w:hAnsi="宋体" w:eastAsia="宋体"/>
          <w:sz w:val="28"/>
          <w:szCs w:val="28"/>
        </w:rPr>
        <w:t>涉及规划地块总面积</w:t>
      </w:r>
      <w:r>
        <w:rPr>
          <w:rFonts w:hint="eastAsia" w:ascii="宋体" w:hAnsi="宋体" w:eastAsia="宋体"/>
          <w:sz w:val="28"/>
          <w:szCs w:val="28"/>
          <w:lang w:eastAsia="zh-CN"/>
        </w:rPr>
        <w:t>为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8771.96平方米（13.16亩）</w:t>
      </w:r>
      <w:r>
        <w:rPr>
          <w:rFonts w:hint="eastAsia" w:ascii="宋体" w:hAnsi="宋体" w:eastAsia="宋体"/>
          <w:sz w:val="28"/>
          <w:szCs w:val="28"/>
        </w:rPr>
        <w:t>。</w:t>
      </w:r>
      <w:bookmarkStart w:id="1" w:name="_GoBack"/>
      <w:bookmarkEnd w:id="1"/>
    </w:p>
    <w:p w14:paraId="62ECD98A">
      <w:pPr>
        <w:pStyle w:val="5"/>
        <w:numPr>
          <w:ilvl w:val="0"/>
          <w:numId w:val="1"/>
        </w:numPr>
        <w:ind w:firstLineChars="0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用地规划</w:t>
      </w:r>
    </w:p>
    <w:p w14:paraId="7FB8B18B">
      <w:pPr>
        <w:ind w:firstLine="420"/>
        <w:rPr>
          <w:rFonts w:ascii="宋体" w:hAnsi="宋体" w:eastAsia="宋体"/>
          <w:sz w:val="28"/>
          <w:szCs w:val="28"/>
          <w:vertAlign w:val="baseline"/>
        </w:rPr>
      </w:pPr>
      <w:r>
        <w:rPr>
          <w:rFonts w:hint="eastAsia" w:ascii="宋体" w:hAnsi="宋体" w:eastAsia="宋体"/>
          <w:sz w:val="28"/>
          <w:szCs w:val="28"/>
        </w:rPr>
        <w:t>本次规划中的城市建设用地依据《城市用地分类与规划建设用地标准》（GB50137-2011）、《自然资源部办公厅关于印发</w:t>
      </w:r>
      <w:r>
        <w:rPr>
          <w:rFonts w:ascii="宋体" w:hAnsi="宋体" w:eastAsia="宋体"/>
          <w:sz w:val="28"/>
          <w:szCs w:val="28"/>
        </w:rPr>
        <w:t>&lt;</w:t>
      </w:r>
      <w:r>
        <w:rPr>
          <w:rFonts w:hint="eastAsia" w:ascii="宋体" w:hAnsi="宋体" w:eastAsia="宋体"/>
          <w:sz w:val="28"/>
          <w:szCs w:val="28"/>
        </w:rPr>
        <w:t>国土空间调查、规划、用途管制用地用海类指南&gt;的通知》（自然资办发[</w:t>
      </w:r>
      <w:r>
        <w:rPr>
          <w:rFonts w:ascii="宋体" w:hAnsi="宋体" w:eastAsia="宋体"/>
          <w:sz w:val="28"/>
          <w:szCs w:val="28"/>
        </w:rPr>
        <w:t>2020]51</w:t>
      </w:r>
      <w:r>
        <w:rPr>
          <w:rFonts w:hint="eastAsia" w:ascii="宋体" w:hAnsi="宋体" w:eastAsia="宋体"/>
          <w:sz w:val="28"/>
          <w:szCs w:val="28"/>
        </w:rPr>
        <w:t>号）确定。</w:t>
      </w:r>
    </w:p>
    <w:tbl>
      <w:tblPr>
        <w:tblStyle w:val="3"/>
        <w:tblW w:w="86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855"/>
        <w:gridCol w:w="960"/>
        <w:gridCol w:w="780"/>
        <w:gridCol w:w="1140"/>
        <w:gridCol w:w="885"/>
        <w:gridCol w:w="795"/>
        <w:gridCol w:w="825"/>
        <w:gridCol w:w="675"/>
        <w:gridCol w:w="660"/>
      </w:tblGrid>
      <w:tr w14:paraId="4ACA0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</w:trPr>
        <w:tc>
          <w:tcPr>
            <w:tcW w:w="1096" w:type="dxa"/>
            <w:vAlign w:val="center"/>
          </w:tcPr>
          <w:p w14:paraId="1D7E70A3">
            <w:pPr>
              <w:jc w:val="center"/>
              <w:rPr>
                <w:rFonts w:hint="eastAsia" w:ascii="宋体" w:hAnsi="宋体" w:eastAsia="宋体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2"/>
                <w:szCs w:val="22"/>
                <w:vertAlign w:val="baseline"/>
                <w:lang w:eastAsia="zh-CN"/>
              </w:rPr>
              <w:t>地块编</w:t>
            </w:r>
            <w:r>
              <w:rPr>
                <w:rFonts w:hint="eastAsia" w:ascii="宋体" w:hAnsi="宋体" w:eastAsia="宋体"/>
                <w:sz w:val="22"/>
                <w:szCs w:val="22"/>
                <w:vertAlign w:val="baseline"/>
                <w:lang w:val="en-US" w:eastAsia="zh-CN"/>
              </w:rPr>
              <w:t>号</w:t>
            </w:r>
          </w:p>
        </w:tc>
        <w:tc>
          <w:tcPr>
            <w:tcW w:w="855" w:type="dxa"/>
            <w:vAlign w:val="center"/>
          </w:tcPr>
          <w:p w14:paraId="61D692D0">
            <w:pPr>
              <w:jc w:val="center"/>
              <w:rPr>
                <w:rFonts w:hint="eastAsia" w:ascii="宋体" w:hAnsi="宋体" w:eastAsia="宋体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2"/>
                <w:szCs w:val="22"/>
                <w:vertAlign w:val="baseline"/>
                <w:lang w:eastAsia="zh-CN"/>
              </w:rPr>
              <w:t>用地性质</w:t>
            </w:r>
          </w:p>
        </w:tc>
        <w:tc>
          <w:tcPr>
            <w:tcW w:w="960" w:type="dxa"/>
            <w:vAlign w:val="center"/>
          </w:tcPr>
          <w:p w14:paraId="63955D71">
            <w:pPr>
              <w:jc w:val="center"/>
              <w:rPr>
                <w:rFonts w:hint="eastAsia" w:ascii="宋体" w:hAnsi="宋体" w:eastAsia="宋体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2"/>
                <w:szCs w:val="22"/>
                <w:vertAlign w:val="baseline"/>
                <w:lang w:eastAsia="zh-CN"/>
              </w:rPr>
              <w:t>地块</w:t>
            </w:r>
          </w:p>
          <w:p w14:paraId="4AD854E9">
            <w:pPr>
              <w:jc w:val="center"/>
              <w:rPr>
                <w:rFonts w:hint="eastAsia" w:ascii="宋体" w:hAnsi="宋体" w:eastAsia="宋体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2"/>
                <w:szCs w:val="22"/>
                <w:vertAlign w:val="baseline"/>
                <w:lang w:eastAsia="zh-CN"/>
              </w:rPr>
              <w:t>面积（㎡）</w:t>
            </w:r>
          </w:p>
        </w:tc>
        <w:tc>
          <w:tcPr>
            <w:tcW w:w="780" w:type="dxa"/>
            <w:vAlign w:val="center"/>
          </w:tcPr>
          <w:p w14:paraId="3DF00C1F">
            <w:pPr>
              <w:jc w:val="center"/>
              <w:rPr>
                <w:rFonts w:hint="eastAsia" w:ascii="宋体" w:hAnsi="宋体" w:eastAsia="宋体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2"/>
                <w:szCs w:val="22"/>
                <w:vertAlign w:val="baseline"/>
                <w:lang w:eastAsia="zh-CN"/>
              </w:rPr>
              <w:t>容积率</w:t>
            </w:r>
          </w:p>
        </w:tc>
        <w:tc>
          <w:tcPr>
            <w:tcW w:w="1140" w:type="dxa"/>
            <w:vAlign w:val="center"/>
          </w:tcPr>
          <w:p w14:paraId="79C2ECA8">
            <w:pPr>
              <w:jc w:val="center"/>
              <w:rPr>
                <w:rFonts w:hint="eastAsia" w:ascii="宋体" w:hAnsi="宋体" w:eastAsia="宋体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2"/>
                <w:szCs w:val="22"/>
                <w:vertAlign w:val="baseline"/>
                <w:lang w:eastAsia="zh-CN"/>
              </w:rPr>
              <w:t>建筑</w:t>
            </w:r>
          </w:p>
          <w:p w14:paraId="10D68DC4">
            <w:pPr>
              <w:jc w:val="center"/>
              <w:rPr>
                <w:rFonts w:hint="eastAsia" w:ascii="宋体" w:hAnsi="宋体" w:eastAsia="宋体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2"/>
                <w:szCs w:val="22"/>
                <w:vertAlign w:val="baseline"/>
                <w:lang w:eastAsia="zh-CN"/>
              </w:rPr>
              <w:t>面积（㎡）</w:t>
            </w:r>
          </w:p>
        </w:tc>
        <w:tc>
          <w:tcPr>
            <w:tcW w:w="885" w:type="dxa"/>
            <w:vAlign w:val="center"/>
          </w:tcPr>
          <w:p w14:paraId="5AAD2AC5">
            <w:pPr>
              <w:jc w:val="center"/>
              <w:rPr>
                <w:rFonts w:hint="eastAsia" w:ascii="宋体" w:hAnsi="宋体" w:eastAsia="宋体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2"/>
                <w:szCs w:val="22"/>
                <w:vertAlign w:val="baseline"/>
                <w:lang w:eastAsia="zh-CN"/>
              </w:rPr>
              <w:t>建筑</w:t>
            </w:r>
          </w:p>
          <w:p w14:paraId="50C4BBC1">
            <w:pPr>
              <w:jc w:val="center"/>
              <w:rPr>
                <w:rFonts w:hint="eastAsia" w:ascii="宋体" w:hAnsi="宋体" w:eastAsia="宋体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2"/>
                <w:szCs w:val="22"/>
                <w:vertAlign w:val="baseline"/>
                <w:lang w:eastAsia="zh-CN"/>
              </w:rPr>
              <w:t>密度（</w:t>
            </w:r>
            <w:r>
              <w:rPr>
                <w:rFonts w:hint="eastAsia" w:ascii="宋体" w:hAnsi="宋体" w:eastAsia="宋体"/>
                <w:sz w:val="22"/>
                <w:szCs w:val="22"/>
                <w:vertAlign w:val="baseline"/>
                <w:lang w:val="en-US" w:eastAsia="zh-CN"/>
              </w:rPr>
              <w:t>%</w:t>
            </w:r>
            <w:r>
              <w:rPr>
                <w:rFonts w:hint="eastAsia" w:ascii="宋体" w:hAnsi="宋体" w:eastAsia="宋体"/>
                <w:sz w:val="22"/>
                <w:szCs w:val="22"/>
                <w:vertAlign w:val="baseline"/>
                <w:lang w:eastAsia="zh-CN"/>
              </w:rPr>
              <w:t>）</w:t>
            </w:r>
          </w:p>
        </w:tc>
        <w:tc>
          <w:tcPr>
            <w:tcW w:w="795" w:type="dxa"/>
            <w:vAlign w:val="center"/>
          </w:tcPr>
          <w:p w14:paraId="013C19BC">
            <w:pPr>
              <w:jc w:val="center"/>
              <w:rPr>
                <w:rFonts w:hint="eastAsia" w:ascii="宋体" w:hAnsi="宋体" w:eastAsia="宋体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2"/>
                <w:szCs w:val="22"/>
                <w:vertAlign w:val="baseline"/>
                <w:lang w:eastAsia="zh-CN"/>
              </w:rPr>
              <w:t>建筑</w:t>
            </w:r>
          </w:p>
          <w:p w14:paraId="24CB8F27">
            <w:pPr>
              <w:jc w:val="center"/>
              <w:rPr>
                <w:rFonts w:hint="eastAsia" w:ascii="宋体" w:hAnsi="宋体" w:eastAsia="宋体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2"/>
                <w:szCs w:val="22"/>
                <w:vertAlign w:val="baseline"/>
                <w:lang w:eastAsia="zh-CN"/>
              </w:rPr>
              <w:t>高度（</w:t>
            </w:r>
            <w:r>
              <w:rPr>
                <w:rFonts w:hint="eastAsia" w:ascii="宋体" w:hAnsi="宋体" w:eastAsia="宋体"/>
                <w:sz w:val="22"/>
                <w:szCs w:val="22"/>
                <w:vertAlign w:val="baseline"/>
                <w:lang w:val="en-US" w:eastAsia="zh-CN"/>
              </w:rPr>
              <w:t>m</w:t>
            </w:r>
            <w:r>
              <w:rPr>
                <w:rFonts w:hint="eastAsia" w:ascii="宋体" w:hAnsi="宋体" w:eastAsia="宋体"/>
                <w:sz w:val="22"/>
                <w:szCs w:val="22"/>
                <w:vertAlign w:val="baseline"/>
                <w:lang w:eastAsia="zh-CN"/>
              </w:rPr>
              <w:t>）</w:t>
            </w:r>
          </w:p>
        </w:tc>
        <w:tc>
          <w:tcPr>
            <w:tcW w:w="825" w:type="dxa"/>
            <w:vAlign w:val="center"/>
          </w:tcPr>
          <w:p w14:paraId="0C842455">
            <w:pPr>
              <w:jc w:val="center"/>
              <w:rPr>
                <w:rFonts w:hint="eastAsia" w:ascii="宋体" w:hAnsi="宋体" w:eastAsia="宋体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2"/>
                <w:szCs w:val="22"/>
                <w:vertAlign w:val="baseline"/>
                <w:lang w:eastAsia="zh-CN"/>
              </w:rPr>
              <w:t>绿化率</w:t>
            </w:r>
          </w:p>
          <w:p w14:paraId="115564D6">
            <w:pPr>
              <w:jc w:val="center"/>
              <w:rPr>
                <w:rFonts w:hint="eastAsia" w:ascii="宋体" w:hAnsi="宋体" w:eastAsia="宋体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2"/>
                <w:szCs w:val="22"/>
                <w:vertAlign w:val="baseline"/>
                <w:lang w:eastAsia="zh-CN"/>
              </w:rPr>
              <w:t>（</w:t>
            </w:r>
            <w:r>
              <w:rPr>
                <w:rFonts w:hint="eastAsia" w:ascii="宋体" w:hAnsi="宋体" w:eastAsia="宋体"/>
                <w:sz w:val="22"/>
                <w:szCs w:val="22"/>
                <w:vertAlign w:val="baseline"/>
                <w:lang w:val="en-US" w:eastAsia="zh-CN"/>
              </w:rPr>
              <w:t>%</w:t>
            </w:r>
            <w:r>
              <w:rPr>
                <w:rFonts w:hint="eastAsia" w:ascii="宋体" w:hAnsi="宋体" w:eastAsia="宋体"/>
                <w:sz w:val="22"/>
                <w:szCs w:val="22"/>
                <w:vertAlign w:val="baseline"/>
                <w:lang w:eastAsia="zh-CN"/>
              </w:rPr>
              <w:t>）</w:t>
            </w:r>
          </w:p>
        </w:tc>
        <w:tc>
          <w:tcPr>
            <w:tcW w:w="675" w:type="dxa"/>
            <w:vAlign w:val="center"/>
          </w:tcPr>
          <w:p w14:paraId="62A2DCC5">
            <w:pPr>
              <w:jc w:val="center"/>
              <w:rPr>
                <w:rFonts w:hint="eastAsia" w:ascii="宋体" w:hAnsi="宋体" w:eastAsia="宋体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2"/>
                <w:szCs w:val="22"/>
                <w:vertAlign w:val="baseline"/>
                <w:lang w:eastAsia="zh-CN"/>
              </w:rPr>
              <w:t>配套设施</w:t>
            </w:r>
          </w:p>
        </w:tc>
        <w:tc>
          <w:tcPr>
            <w:tcW w:w="660" w:type="dxa"/>
            <w:vAlign w:val="center"/>
          </w:tcPr>
          <w:p w14:paraId="48E14C9D">
            <w:pPr>
              <w:jc w:val="center"/>
              <w:rPr>
                <w:rFonts w:hint="eastAsia" w:ascii="宋体" w:hAnsi="宋体" w:eastAsia="宋体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2"/>
                <w:szCs w:val="22"/>
                <w:vertAlign w:val="baseline"/>
                <w:lang w:eastAsia="zh-CN"/>
              </w:rPr>
              <w:t>备注</w:t>
            </w:r>
          </w:p>
        </w:tc>
      </w:tr>
      <w:tr w14:paraId="24307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</w:trPr>
        <w:tc>
          <w:tcPr>
            <w:tcW w:w="1096" w:type="dxa"/>
          </w:tcPr>
          <w:p w14:paraId="4333553A">
            <w:pPr>
              <w:jc w:val="center"/>
              <w:rPr>
                <w:rFonts w:hint="eastAsia" w:ascii="Arial" w:hAnsi="Arial" w:eastAsia="宋体"/>
                <w:color w:val="auto"/>
                <w:w w:val="90"/>
                <w:sz w:val="21"/>
                <w:szCs w:val="1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宋体"/>
                <w:color w:val="auto"/>
                <w:w w:val="90"/>
                <w:sz w:val="21"/>
                <w:szCs w:val="18"/>
                <w:u w:val="none"/>
                <w:vertAlign w:val="baseline"/>
                <w:lang w:val="en-US" w:eastAsia="zh-CN"/>
              </w:rPr>
              <w:t>CZ-XY-</w:t>
            </w:r>
          </w:p>
          <w:p w14:paraId="1EAF0B14">
            <w:pPr>
              <w:jc w:val="center"/>
              <w:rPr>
                <w:rFonts w:hint="eastAsia" w:ascii="Arial" w:hAnsi="Arial" w:eastAsia="宋体"/>
                <w:color w:val="auto"/>
                <w:w w:val="90"/>
                <w:sz w:val="21"/>
                <w:szCs w:val="1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宋体"/>
                <w:color w:val="auto"/>
                <w:w w:val="90"/>
                <w:sz w:val="21"/>
                <w:szCs w:val="18"/>
                <w:u w:val="none"/>
                <w:vertAlign w:val="baseline"/>
                <w:lang w:val="en-US" w:eastAsia="zh-CN"/>
              </w:rPr>
              <w:t>XL-01-</w:t>
            </w:r>
          </w:p>
          <w:p w14:paraId="071F4871">
            <w:pPr>
              <w:jc w:val="center"/>
              <w:rPr>
                <w:rFonts w:hint="eastAsia" w:ascii="宋体" w:hAnsi="宋体" w:eastAsia="宋体"/>
                <w:w w:val="90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Arial" w:hAnsi="Arial" w:eastAsia="宋体"/>
                <w:color w:val="auto"/>
                <w:w w:val="90"/>
                <w:sz w:val="21"/>
                <w:szCs w:val="18"/>
                <w:u w:val="none"/>
                <w:vertAlign w:val="baseline"/>
                <w:lang w:val="en-US" w:eastAsia="zh-CN"/>
              </w:rPr>
              <w:t>NQY-01</w:t>
            </w:r>
          </w:p>
        </w:tc>
        <w:tc>
          <w:tcPr>
            <w:tcW w:w="855" w:type="dxa"/>
            <w:vAlign w:val="center"/>
          </w:tcPr>
          <w:p w14:paraId="65923DC7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宋体" w:hAnsi="宋体" w:eastAsia="宋体"/>
                <w:w w:val="90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w w:val="90"/>
                <w:sz w:val="21"/>
                <w:szCs w:val="18"/>
                <w:u w:val="none"/>
                <w:vertAlign w:val="baseline"/>
                <w:lang w:val="en-US" w:eastAsia="zh-CN"/>
              </w:rPr>
              <w:t>1303</w:t>
            </w:r>
          </w:p>
        </w:tc>
        <w:tc>
          <w:tcPr>
            <w:tcW w:w="960" w:type="dxa"/>
            <w:vAlign w:val="center"/>
          </w:tcPr>
          <w:p w14:paraId="0EE5F86A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宋体" w:hAnsi="宋体" w:eastAsia="宋体"/>
                <w:w w:val="90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w w:val="90"/>
                <w:sz w:val="21"/>
                <w:szCs w:val="18"/>
                <w:u w:val="none"/>
                <w:vertAlign w:val="baseline"/>
                <w:lang w:val="en-US" w:eastAsia="zh-CN"/>
              </w:rPr>
              <w:t>8771.96</w:t>
            </w:r>
          </w:p>
        </w:tc>
        <w:tc>
          <w:tcPr>
            <w:tcW w:w="780" w:type="dxa"/>
            <w:vAlign w:val="center"/>
          </w:tcPr>
          <w:p w14:paraId="067D53F6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宋体" w:hAnsi="宋体" w:eastAsia="宋体"/>
                <w:w w:val="90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w w:val="90"/>
                <w:sz w:val="21"/>
                <w:szCs w:val="18"/>
                <w:u w:val="none"/>
                <w:vertAlign w:val="baseline"/>
                <w:lang w:val="en-US" w:eastAsia="zh-CN"/>
              </w:rPr>
              <w:t>≤0.3</w:t>
            </w:r>
          </w:p>
        </w:tc>
        <w:tc>
          <w:tcPr>
            <w:tcW w:w="1140" w:type="dxa"/>
            <w:vAlign w:val="center"/>
          </w:tcPr>
          <w:p w14:paraId="39E413AF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default" w:ascii="宋体" w:hAnsi="宋体" w:eastAsia="宋体"/>
                <w:w w:val="9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w w:val="90"/>
                <w:sz w:val="21"/>
                <w:szCs w:val="18"/>
                <w:u w:val="none"/>
                <w:vertAlign w:val="baseline"/>
                <w:lang w:val="en-US" w:eastAsia="zh-CN"/>
              </w:rPr>
              <w:t>≤</w:t>
            </w:r>
            <w:r>
              <w:rPr>
                <w:rFonts w:hint="eastAsia" w:ascii="宋体" w:hAnsi="宋体" w:eastAsia="宋体"/>
                <w:w w:val="90"/>
                <w:sz w:val="22"/>
                <w:szCs w:val="22"/>
                <w:vertAlign w:val="baseline"/>
                <w:lang w:val="en-US" w:eastAsia="zh-CN"/>
              </w:rPr>
              <w:t>2631.57</w:t>
            </w:r>
          </w:p>
        </w:tc>
        <w:tc>
          <w:tcPr>
            <w:tcW w:w="885" w:type="dxa"/>
            <w:vAlign w:val="center"/>
          </w:tcPr>
          <w:p w14:paraId="7F886BA8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宋体" w:hAnsi="宋体" w:eastAsia="宋体"/>
                <w:w w:val="90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Arial" w:hAnsi="Arial" w:eastAsia="宋体"/>
                <w:color w:val="auto"/>
                <w:w w:val="90"/>
                <w:sz w:val="21"/>
                <w:szCs w:val="18"/>
                <w:u w:val="none"/>
                <w:vertAlign w:val="baseline"/>
                <w:lang w:val="en-US" w:eastAsia="zh-CN"/>
              </w:rPr>
              <w:t>≤30%</w:t>
            </w:r>
          </w:p>
        </w:tc>
        <w:tc>
          <w:tcPr>
            <w:tcW w:w="795" w:type="dxa"/>
            <w:vAlign w:val="center"/>
          </w:tcPr>
          <w:p w14:paraId="2D524378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宋体" w:hAnsi="宋体" w:eastAsia="宋体"/>
                <w:w w:val="90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Arial" w:hAnsi="Arial" w:eastAsia="宋体"/>
                <w:color w:val="auto"/>
                <w:w w:val="90"/>
                <w:sz w:val="21"/>
                <w:szCs w:val="18"/>
                <w:u w:val="none"/>
                <w:vertAlign w:val="baseline"/>
                <w:lang w:val="en-US" w:eastAsia="zh-CN"/>
              </w:rPr>
              <w:t>≤20m</w:t>
            </w:r>
          </w:p>
        </w:tc>
        <w:tc>
          <w:tcPr>
            <w:tcW w:w="825" w:type="dxa"/>
            <w:vAlign w:val="center"/>
          </w:tcPr>
          <w:p w14:paraId="4E1E452E">
            <w:pPr>
              <w:keepNext w:val="0"/>
              <w:keepLines w:val="0"/>
              <w:pageBreakBefore w:val="0"/>
              <w:widowControl w:val="0"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eastAsia" w:ascii="宋体" w:hAnsi="宋体" w:eastAsia="宋体"/>
                <w:w w:val="90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Arial" w:hAnsi="Arial" w:eastAsia="宋体"/>
                <w:color w:val="auto"/>
                <w:w w:val="90"/>
                <w:sz w:val="21"/>
                <w:szCs w:val="18"/>
                <w:u w:val="none"/>
                <w:vertAlign w:val="baseline"/>
                <w:lang w:val="en-US" w:eastAsia="zh-CN"/>
              </w:rPr>
              <w:t>≥15%</w:t>
            </w:r>
          </w:p>
        </w:tc>
        <w:tc>
          <w:tcPr>
            <w:tcW w:w="675" w:type="dxa"/>
          </w:tcPr>
          <w:p w14:paraId="74E18A23">
            <w:pPr>
              <w:jc w:val="center"/>
              <w:rPr>
                <w:rFonts w:hint="eastAsia" w:ascii="宋体" w:hAnsi="宋体" w:eastAsia="宋体"/>
                <w:w w:val="90"/>
                <w:sz w:val="22"/>
                <w:szCs w:val="22"/>
                <w:vertAlign w:val="baseline"/>
                <w:lang w:eastAsia="zh-CN"/>
              </w:rPr>
            </w:pPr>
          </w:p>
        </w:tc>
        <w:tc>
          <w:tcPr>
            <w:tcW w:w="660" w:type="dxa"/>
          </w:tcPr>
          <w:p w14:paraId="385BBF2B">
            <w:pPr>
              <w:jc w:val="center"/>
              <w:rPr>
                <w:rFonts w:hint="eastAsia" w:ascii="宋体" w:hAnsi="宋体" w:eastAsia="宋体"/>
                <w:w w:val="90"/>
                <w:sz w:val="21"/>
                <w:szCs w:val="21"/>
                <w:vertAlign w:val="baseline"/>
                <w:lang w:eastAsia="zh-CN"/>
              </w:rPr>
            </w:pPr>
          </w:p>
        </w:tc>
      </w:tr>
    </w:tbl>
    <w:p w14:paraId="5C362A5F">
      <w:pPr>
        <w:rPr>
          <w:rFonts w:hint="eastAsia" w:ascii="宋体" w:hAnsi="宋体" w:eastAsia="宋体"/>
          <w:sz w:val="28"/>
          <w:szCs w:val="28"/>
        </w:rPr>
      </w:pPr>
      <w:bookmarkStart w:id="0" w:name="_MON_1835871866"/>
      <w:bookmarkEnd w:id="0"/>
      <w:r>
        <w:rPr>
          <w:rFonts w:hint="eastAsia" w:ascii="宋体" w:hAnsi="宋体" w:eastAsia="宋体"/>
          <w:sz w:val="28"/>
          <w:szCs w:val="28"/>
        </w:rPr>
        <w:br w:type="page"/>
      </w:r>
    </w:p>
    <w:p w14:paraId="69A50636">
      <w:pPr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控规编制所涉及地块用地规划图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6"/>
      </w:tblGrid>
      <w:tr w14:paraId="51DC9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06" w:type="dxa"/>
          </w:tcPr>
          <w:p w14:paraId="2CA49BB8">
            <w:pPr>
              <w:spacing w:line="240" w:lineRule="auto"/>
              <w:rPr>
                <w:rFonts w:hint="eastAsia" w:ascii="宋体" w:hAnsi="宋体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vertAlign w:val="baseline"/>
                <w:lang w:eastAsia="zh-CN"/>
              </w:rPr>
              <w:drawing>
                <wp:inline distT="0" distB="0" distL="114300" distR="114300">
                  <wp:extent cx="5077460" cy="3623945"/>
                  <wp:effectExtent l="0" t="0" r="8890" b="14605"/>
                  <wp:docPr id="1" name="图片 1" descr="控规指标图-公示3.10_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控规指标图-公示3.10_0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7460" cy="3623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929950">
      <w:pPr>
        <w:tabs>
          <w:tab w:val="left" w:pos="5036"/>
        </w:tabs>
        <w:rPr>
          <w:rFonts w:hint="eastAsia" w:ascii="宋体" w:hAnsi="宋体" w:eastAsia="宋体"/>
          <w:sz w:val="28"/>
          <w:szCs w:val="28"/>
        </w:rPr>
      </w:pPr>
    </w:p>
    <w:p w14:paraId="5D0D7629">
      <w:pPr>
        <w:tabs>
          <w:tab w:val="left" w:pos="5036"/>
        </w:tabs>
        <w:rPr>
          <w:rFonts w:hint="eastAsia" w:ascii="宋体" w:hAnsi="宋体" w:eastAsia="宋体"/>
          <w:sz w:val="28"/>
          <w:szCs w:val="28"/>
        </w:rPr>
      </w:pPr>
    </w:p>
    <w:p w14:paraId="7E416133">
      <w:pPr>
        <w:tabs>
          <w:tab w:val="left" w:pos="5036"/>
        </w:tabs>
        <w:wordWrap w:val="0"/>
        <w:jc w:val="right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</w:rPr>
        <w:t>襄垣县自然资源局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 xml:space="preserve">     </w:t>
      </w:r>
    </w:p>
    <w:p w14:paraId="562BE566">
      <w:pPr>
        <w:tabs>
          <w:tab w:val="left" w:pos="5878"/>
        </w:tabs>
        <w:wordWrap w:val="0"/>
        <w:jc w:val="right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ascii="宋体" w:hAnsi="宋体" w:eastAsia="宋体"/>
          <w:sz w:val="28"/>
          <w:szCs w:val="28"/>
        </w:rPr>
        <w:t>202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/>
          <w:sz w:val="28"/>
          <w:szCs w:val="28"/>
        </w:rPr>
        <w:t>年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10</w:t>
      </w:r>
      <w:r>
        <w:rPr>
          <w:rFonts w:hint="eastAsia" w:ascii="宋体" w:hAnsi="宋体" w:eastAsia="宋体"/>
          <w:sz w:val="28"/>
          <w:szCs w:val="28"/>
        </w:rPr>
        <w:t>月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15</w:t>
      </w:r>
      <w:r>
        <w:rPr>
          <w:rFonts w:hint="eastAsia" w:ascii="宋体" w:hAnsi="宋体" w:eastAsia="宋体"/>
          <w:sz w:val="28"/>
          <w:szCs w:val="28"/>
        </w:rPr>
        <w:t>日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F61146"/>
    <w:multiLevelType w:val="multilevel"/>
    <w:tmpl w:val="42F61146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F7A"/>
    <w:rsid w:val="00057D4F"/>
    <w:rsid w:val="00145133"/>
    <w:rsid w:val="003D6CBD"/>
    <w:rsid w:val="006F2C82"/>
    <w:rsid w:val="009D5F7A"/>
    <w:rsid w:val="009F2C3E"/>
    <w:rsid w:val="00DF4AF3"/>
    <w:rsid w:val="00F75BFF"/>
    <w:rsid w:val="14D6699A"/>
    <w:rsid w:val="1FBB7EAF"/>
    <w:rsid w:val="3ABB0C86"/>
    <w:rsid w:val="4B581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8F72A044-3A26-49E9-B0B8-D939F9FCE97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254</Words>
  <Characters>359</Characters>
  <Lines>2</Lines>
  <Paragraphs>1</Paragraphs>
  <TotalTime>10</TotalTime>
  <ScaleCrop>false</ScaleCrop>
  <LinksUpToDate>false</LinksUpToDate>
  <CharactersWithSpaces>361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2026-02-09T02:13:00Z</dcterms:created>
  <dc:creator>Administrator</dc:creator>
  <cp:lastModifiedBy>王有才</cp:lastModifiedBy>
  <dcterms:modified xsi:type="dcterms:W3CDTF">2026-10-20T02:57:48Z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eyJoZGlkIjoiN2RjNTkyZGEyY2ZjY2Q1YzM0MTQ4NjI0MTk5YTdhY2UiLCJ1c2VySWQiOiIxMTMzOTI5MTI4In0=</vt:lpwstr>
  </property>
  <property fmtid="{D5CDD505-2E9C-101B-9397-08002B2CF9AE}" pid="3" name="KSOProductBuildVer">
    <vt:lpwstr>2052-12.1.0.28505</vt:lpwstr>
  </property>
  <property fmtid="{D5CDD505-2E9C-101B-9397-08002B2CF9AE}" pid="4" name="ICV">
    <vt:lpwstr>F916FBC31A064F09A01183A9F28116A4_13</vt:lpwstr>
  </property>
</Properties>
</file>