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A11ED">
      <w:pPr>
        <w:keepNext w:val="0"/>
        <w:keepLines w:val="0"/>
        <w:widowControl w:val="0"/>
        <w:suppressLineNumbers w:val="0"/>
        <w:autoSpaceDE w:val="0"/>
        <w:autoSpaceDN/>
        <w:spacing w:before="0" w:beforeAutospacing="0" w:after="0" w:afterAutospacing="0" w:line="600" w:lineRule="exact"/>
        <w:ind w:left="0" w:right="0"/>
        <w:jc w:val="center"/>
        <w:rPr>
          <w:rFonts w:hint="eastAsia" w:ascii="Calibri" w:hAnsi="Calibri" w:eastAsia="宋体" w:cs="Times New Roman"/>
          <w:kern w:val="2"/>
          <w:sz w:val="36"/>
          <w:szCs w:val="36"/>
        </w:rPr>
      </w:pPr>
    </w:p>
    <w:p w14:paraId="501838FD">
      <w:pPr>
        <w:keepNext w:val="0"/>
        <w:keepLines w:val="0"/>
        <w:widowControl w:val="0"/>
        <w:suppressLineNumbers w:val="0"/>
        <w:autoSpaceDE w:val="0"/>
        <w:autoSpaceDN/>
        <w:spacing w:before="0" w:beforeAutospacing="0" w:after="0" w:afterAutospacing="0" w:line="600" w:lineRule="exact"/>
        <w:ind w:left="0" w:right="0"/>
        <w:jc w:val="center"/>
        <w:rPr>
          <w:rFonts w:hint="eastAsia" w:ascii="Calibri" w:hAnsi="Calibri" w:eastAsia="宋体" w:cs="Times New Roman"/>
          <w:kern w:val="2"/>
          <w:sz w:val="36"/>
          <w:szCs w:val="36"/>
        </w:rPr>
      </w:pPr>
      <w:r>
        <w:rPr>
          <w:rFonts w:hint="eastAsia" w:ascii="Calibri" w:hAnsi="Calibri" w:eastAsia="宋体" w:cs="Times New Roman"/>
          <w:kern w:val="2"/>
          <w:sz w:val="36"/>
          <w:szCs w:val="36"/>
          <w:lang w:val="en-US" w:eastAsia="zh-CN" w:bidi="ar"/>
        </w:rPr>
        <w:t xml:space="preserve"> </w:t>
      </w:r>
    </w:p>
    <w:p w14:paraId="36E7EF94">
      <w:pPr>
        <w:keepNext w:val="0"/>
        <w:keepLines w:val="0"/>
        <w:widowControl w:val="0"/>
        <w:suppressLineNumbers w:val="0"/>
        <w:autoSpaceDE w:val="0"/>
        <w:autoSpaceDN/>
        <w:spacing w:before="0" w:beforeAutospacing="0" w:after="0" w:afterAutospacing="0" w:line="600" w:lineRule="exact"/>
        <w:ind w:left="0" w:right="0"/>
        <w:jc w:val="center"/>
        <w:rPr>
          <w:rFonts w:hint="eastAsia" w:ascii="Calibri" w:hAnsi="Calibri" w:eastAsia="宋体" w:cs="Times New Roman"/>
          <w:kern w:val="2"/>
          <w:sz w:val="36"/>
          <w:szCs w:val="36"/>
        </w:rPr>
      </w:pPr>
      <w:r>
        <w:rPr>
          <w:rFonts w:hint="eastAsia" w:ascii="Calibri" w:hAnsi="Calibri" w:eastAsia="宋体" w:cs="Times New Roman"/>
          <w:kern w:val="2"/>
          <w:sz w:val="36"/>
          <w:szCs w:val="36"/>
          <w:lang w:val="en-US" w:eastAsia="zh-CN" w:bidi="ar"/>
        </w:rPr>
        <w:t xml:space="preserve"> </w:t>
      </w:r>
    </w:p>
    <w:p w14:paraId="05137757">
      <w:pPr>
        <w:keepNext w:val="0"/>
        <w:keepLines w:val="0"/>
        <w:widowControl w:val="0"/>
        <w:suppressLineNumbers w:val="0"/>
        <w:autoSpaceDE w:val="0"/>
        <w:autoSpaceDN/>
        <w:spacing w:before="0" w:beforeAutospacing="0" w:after="0" w:afterAutospacing="0" w:line="600" w:lineRule="exact"/>
        <w:ind w:left="0" w:right="0"/>
        <w:jc w:val="center"/>
        <w:rPr>
          <w:rFonts w:hint="eastAsia" w:ascii="Calibri" w:hAnsi="Calibri" w:eastAsia="宋体" w:cs="Times New Roman"/>
          <w:kern w:val="2"/>
          <w:sz w:val="36"/>
          <w:szCs w:val="36"/>
        </w:rPr>
      </w:pPr>
      <w:r>
        <w:rPr>
          <w:rFonts w:hint="eastAsia" w:ascii="Calibri" w:hAnsi="Calibri" w:eastAsia="宋体" w:cs="Times New Roman"/>
          <w:kern w:val="2"/>
          <w:sz w:val="36"/>
          <w:szCs w:val="36"/>
          <w:lang w:val="en-US" w:eastAsia="zh-CN" w:bidi="ar"/>
        </w:rPr>
        <w:t xml:space="preserve"> </w:t>
      </w:r>
    </w:p>
    <w:p w14:paraId="22B2A79E">
      <w:pPr>
        <w:keepNext w:val="0"/>
        <w:keepLines w:val="0"/>
        <w:widowControl w:val="0"/>
        <w:suppressLineNumbers w:val="0"/>
        <w:autoSpaceDE w:val="0"/>
        <w:autoSpaceDN/>
        <w:spacing w:before="0" w:beforeAutospacing="0" w:after="0" w:afterAutospacing="0" w:line="240" w:lineRule="auto"/>
        <w:ind w:left="0" w:right="0"/>
        <w:jc w:val="center"/>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襄垣县国土空间总体规划（2021—2035年）</w:t>
      </w:r>
    </w:p>
    <w:p w14:paraId="2D166FCA">
      <w:pPr>
        <w:keepNext w:val="0"/>
        <w:keepLines w:val="0"/>
        <w:widowControl w:val="0"/>
        <w:suppressLineNumbers w:val="0"/>
        <w:autoSpaceDE w:val="0"/>
        <w:autoSpaceDN/>
        <w:spacing w:before="0" w:beforeAutospacing="0" w:after="0" w:afterAutospacing="0" w:line="240" w:lineRule="auto"/>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2026年度动态维护方案</w:t>
      </w:r>
    </w:p>
    <w:p w14:paraId="4D49FAFF">
      <w:pPr>
        <w:keepNext w:val="0"/>
        <w:keepLines w:val="0"/>
        <w:widowControl w:val="0"/>
        <w:suppressLineNumbers w:val="0"/>
        <w:autoSpaceDE w:val="0"/>
        <w:autoSpaceDN/>
        <w:spacing w:before="0" w:beforeAutospacing="0" w:after="0" w:afterAutospacing="0" w:line="600" w:lineRule="exact"/>
        <w:ind w:left="0" w:right="0"/>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（公示稿）</w:t>
      </w:r>
    </w:p>
    <w:p w14:paraId="27B3A0BC">
      <w:pPr>
        <w:keepNext w:val="0"/>
        <w:keepLines w:val="0"/>
        <w:widowControl w:val="0"/>
        <w:suppressLineNumbers w:val="0"/>
        <w:autoSpaceDE w:val="0"/>
        <w:autoSpaceDN/>
        <w:spacing w:before="0" w:beforeAutospacing="0" w:after="0" w:afterAutospacing="0" w:line="600" w:lineRule="exact"/>
        <w:ind w:left="0" w:right="0"/>
        <w:jc w:val="center"/>
        <w:rPr>
          <w:rFonts w:hint="eastAsia" w:ascii="方正公文小标宋" w:hAnsi="方正公文小标宋" w:eastAsia="方正公文小标宋" w:cs="方正公文小标宋"/>
          <w:kern w:val="2"/>
          <w:sz w:val="36"/>
          <w:szCs w:val="36"/>
        </w:rPr>
      </w:pPr>
    </w:p>
    <w:p w14:paraId="0D5784B3">
      <w:pPr>
        <w:keepNext w:val="0"/>
        <w:keepLines w:val="0"/>
        <w:widowControl w:val="0"/>
        <w:suppressLineNumbers w:val="0"/>
        <w:autoSpaceDE w:val="0"/>
        <w:autoSpaceDN/>
        <w:spacing w:before="0" w:beforeAutospacing="0" w:after="0" w:afterAutospacing="0" w:line="600" w:lineRule="exact"/>
        <w:ind w:left="0" w:right="0"/>
        <w:jc w:val="center"/>
        <w:rPr>
          <w:rFonts w:hint="eastAsia" w:ascii="方正公文小标宋" w:hAnsi="方正公文小标宋" w:eastAsia="方正公文小标宋" w:cs="方正公文小标宋"/>
          <w:kern w:val="2"/>
          <w:sz w:val="36"/>
          <w:szCs w:val="36"/>
        </w:rPr>
      </w:pPr>
    </w:p>
    <w:p w14:paraId="6A846914">
      <w:pPr>
        <w:keepNext w:val="0"/>
        <w:keepLines w:val="0"/>
        <w:widowControl w:val="0"/>
        <w:suppressLineNumbers w:val="0"/>
        <w:autoSpaceDE w:val="0"/>
        <w:autoSpaceDN/>
        <w:spacing w:before="0" w:beforeAutospacing="0" w:after="0" w:afterAutospacing="0" w:line="600" w:lineRule="exact"/>
        <w:ind w:left="0" w:right="0"/>
        <w:jc w:val="center"/>
        <w:rPr>
          <w:rFonts w:hint="eastAsia" w:ascii="方正公文小标宋" w:hAnsi="方正公文小标宋" w:eastAsia="方正公文小标宋" w:cs="方正公文小标宋"/>
          <w:kern w:val="2"/>
          <w:sz w:val="36"/>
          <w:szCs w:val="36"/>
        </w:rPr>
      </w:pPr>
    </w:p>
    <w:p w14:paraId="59FA668D">
      <w:pPr>
        <w:keepNext w:val="0"/>
        <w:keepLines w:val="0"/>
        <w:widowControl w:val="0"/>
        <w:suppressLineNumbers w:val="0"/>
        <w:autoSpaceDE w:val="0"/>
        <w:autoSpaceDN/>
        <w:spacing w:before="0" w:beforeAutospacing="0" w:after="0" w:afterAutospacing="0" w:line="600" w:lineRule="exact"/>
        <w:ind w:left="0" w:right="0"/>
        <w:jc w:val="center"/>
        <w:rPr>
          <w:rFonts w:hint="eastAsia" w:ascii="方正公文小标宋" w:hAnsi="方正公文小标宋" w:eastAsia="方正公文小标宋" w:cs="方正公文小标宋"/>
          <w:kern w:val="2"/>
          <w:sz w:val="36"/>
          <w:szCs w:val="36"/>
        </w:rPr>
      </w:pPr>
    </w:p>
    <w:p w14:paraId="5C596DCA">
      <w:pPr>
        <w:keepNext w:val="0"/>
        <w:keepLines w:val="0"/>
        <w:widowControl w:val="0"/>
        <w:suppressLineNumbers w:val="0"/>
        <w:autoSpaceDE w:val="0"/>
        <w:autoSpaceDN/>
        <w:spacing w:before="0" w:beforeAutospacing="0" w:after="0" w:afterAutospacing="0" w:line="600" w:lineRule="exact"/>
        <w:ind w:left="0" w:right="0"/>
        <w:jc w:val="center"/>
        <w:rPr>
          <w:rFonts w:hint="eastAsia" w:ascii="方正公文小标宋" w:hAnsi="方正公文小标宋" w:eastAsia="方正公文小标宋" w:cs="方正公文小标宋"/>
          <w:kern w:val="2"/>
          <w:sz w:val="36"/>
          <w:szCs w:val="36"/>
        </w:rPr>
      </w:pPr>
    </w:p>
    <w:p w14:paraId="3DFFB044">
      <w:pPr>
        <w:keepNext w:val="0"/>
        <w:keepLines w:val="0"/>
        <w:widowControl w:val="0"/>
        <w:suppressLineNumbers w:val="0"/>
        <w:autoSpaceDE w:val="0"/>
        <w:autoSpaceDN/>
        <w:spacing w:before="0" w:beforeAutospacing="0" w:after="0" w:afterAutospacing="0" w:line="600" w:lineRule="exact"/>
        <w:ind w:left="0" w:right="0"/>
        <w:jc w:val="center"/>
        <w:rPr>
          <w:rFonts w:hint="eastAsia" w:ascii="方正公文小标宋" w:hAnsi="方正公文小标宋" w:eastAsia="方正公文小标宋" w:cs="方正公文小标宋"/>
          <w:kern w:val="2"/>
          <w:sz w:val="36"/>
          <w:szCs w:val="36"/>
        </w:rPr>
      </w:pPr>
    </w:p>
    <w:p w14:paraId="3465F596">
      <w:pPr>
        <w:keepNext w:val="0"/>
        <w:keepLines w:val="0"/>
        <w:widowControl w:val="0"/>
        <w:suppressLineNumbers w:val="0"/>
        <w:autoSpaceDE w:val="0"/>
        <w:autoSpaceDN/>
        <w:spacing w:before="0" w:beforeAutospacing="0" w:after="0" w:afterAutospacing="0" w:line="600" w:lineRule="exact"/>
        <w:ind w:left="0" w:right="0"/>
        <w:jc w:val="center"/>
        <w:rPr>
          <w:rFonts w:hint="eastAsia" w:ascii="方正公文小标宋" w:hAnsi="方正公文小标宋" w:eastAsia="方正公文小标宋" w:cs="方正公文小标宋"/>
          <w:kern w:val="2"/>
          <w:sz w:val="36"/>
          <w:szCs w:val="36"/>
        </w:rPr>
      </w:pPr>
    </w:p>
    <w:p w14:paraId="0C770FBA">
      <w:pPr>
        <w:keepNext w:val="0"/>
        <w:keepLines w:val="0"/>
        <w:widowControl w:val="0"/>
        <w:suppressLineNumbers w:val="0"/>
        <w:autoSpaceDE w:val="0"/>
        <w:autoSpaceDN/>
        <w:spacing w:before="0" w:beforeAutospacing="0" w:after="0" w:afterAutospacing="0" w:line="600" w:lineRule="exact"/>
        <w:ind w:left="0" w:right="0"/>
        <w:jc w:val="center"/>
        <w:rPr>
          <w:rFonts w:hint="eastAsia" w:ascii="方正公文小标宋" w:hAnsi="方正公文小标宋" w:eastAsia="方正公文小标宋" w:cs="方正公文小标宋"/>
          <w:kern w:val="2"/>
          <w:sz w:val="36"/>
          <w:szCs w:val="36"/>
        </w:rPr>
      </w:pPr>
    </w:p>
    <w:p w14:paraId="11E5A795">
      <w:pPr>
        <w:keepNext w:val="0"/>
        <w:keepLines w:val="0"/>
        <w:widowControl w:val="0"/>
        <w:suppressLineNumbers w:val="0"/>
        <w:autoSpaceDE w:val="0"/>
        <w:autoSpaceDN/>
        <w:spacing w:before="0" w:beforeAutospacing="0" w:after="0" w:afterAutospacing="0" w:line="600" w:lineRule="exact"/>
        <w:ind w:left="0" w:right="0"/>
        <w:jc w:val="center"/>
        <w:rPr>
          <w:rFonts w:hint="eastAsia" w:ascii="方正公文小标宋" w:hAnsi="方正公文小标宋" w:eastAsia="方正公文小标宋" w:cs="方正公文小标宋"/>
          <w:kern w:val="2"/>
          <w:sz w:val="36"/>
          <w:szCs w:val="36"/>
        </w:rPr>
      </w:pPr>
    </w:p>
    <w:p w14:paraId="12DED385">
      <w:pPr>
        <w:keepNext w:val="0"/>
        <w:keepLines w:val="0"/>
        <w:widowControl w:val="0"/>
        <w:suppressLineNumbers w:val="0"/>
        <w:autoSpaceDE w:val="0"/>
        <w:autoSpaceDN/>
        <w:spacing w:before="0" w:beforeAutospacing="0" w:after="0" w:afterAutospacing="0" w:line="600" w:lineRule="exact"/>
        <w:ind w:left="0" w:right="0"/>
        <w:jc w:val="center"/>
        <w:rPr>
          <w:rFonts w:hint="eastAsia" w:ascii="方正公文小标宋" w:hAnsi="方正公文小标宋" w:eastAsia="方正公文小标宋" w:cs="方正公文小标宋"/>
          <w:kern w:val="2"/>
          <w:sz w:val="36"/>
          <w:szCs w:val="36"/>
        </w:rPr>
      </w:pPr>
    </w:p>
    <w:p w14:paraId="36C00F67">
      <w:pPr>
        <w:keepNext w:val="0"/>
        <w:keepLines w:val="0"/>
        <w:widowControl w:val="0"/>
        <w:suppressLineNumbers w:val="0"/>
        <w:autoSpaceDE w:val="0"/>
        <w:autoSpaceDN/>
        <w:spacing w:before="0" w:beforeAutospacing="0" w:after="0" w:afterAutospacing="0" w:line="600" w:lineRule="exact"/>
        <w:ind w:left="0" w:right="0"/>
        <w:jc w:val="center"/>
        <w:rPr>
          <w:rFonts w:hint="eastAsia" w:ascii="楷体" w:hAnsi="楷体" w:eastAsia="楷体" w:cs="楷体"/>
          <w:kern w:val="2"/>
          <w:sz w:val="32"/>
          <w:szCs w:val="32"/>
          <w:lang w:val="en-US" w:eastAsia="zh-CN" w:bidi="ar"/>
        </w:rPr>
      </w:pPr>
    </w:p>
    <w:p w14:paraId="177BEED6">
      <w:pPr>
        <w:keepNext w:val="0"/>
        <w:keepLines w:val="0"/>
        <w:widowControl w:val="0"/>
        <w:suppressLineNumbers w:val="0"/>
        <w:autoSpaceDE w:val="0"/>
        <w:autoSpaceDN/>
        <w:spacing w:before="0" w:beforeAutospacing="0" w:after="0" w:afterAutospacing="0" w:line="600" w:lineRule="exact"/>
        <w:ind w:left="0" w:right="0"/>
        <w:jc w:val="center"/>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二〇二六年六月</w:t>
      </w:r>
    </w:p>
    <w:p w14:paraId="278AB4FA">
      <w:pPr>
        <w:keepNext w:val="0"/>
        <w:keepLines w:val="0"/>
        <w:widowControl/>
        <w:suppressLineNumbers w:val="0"/>
        <w:autoSpaceDE w:val="0"/>
        <w:autoSpaceDN/>
        <w:spacing w:before="0" w:beforeAutospacing="0" w:after="0" w:afterAutospacing="0" w:line="600" w:lineRule="exact"/>
        <w:ind w:left="0" w:right="0" w:firstLine="640" w:firstLineChars="200"/>
        <w:jc w:val="left"/>
        <w:rPr>
          <w:rFonts w:hint="eastAsia" w:ascii="仿宋_GB2312" w:hAnsi="宋体" w:eastAsia="仿宋_GB2312" w:cs="仿宋_GB2312"/>
          <w:kern w:val="2"/>
          <w:sz w:val="32"/>
          <w:szCs w:val="32"/>
          <w:lang w:val="en-US" w:eastAsia="zh-CN" w:bidi="ar"/>
        </w:rPr>
        <w:sectPr>
          <w:pgSz w:w="11906" w:h="16838"/>
          <w:pgMar w:top="1440" w:right="1800" w:bottom="1440" w:left="1800" w:header="851" w:footer="992" w:gutter="0"/>
          <w:pgNumType w:fmt="decimal"/>
          <w:cols w:space="425" w:num="1"/>
          <w:docGrid w:type="lines" w:linePitch="312" w:charSpace="0"/>
        </w:sectPr>
      </w:pPr>
    </w:p>
    <w:p w14:paraId="011DFBD8">
      <w:pPr>
        <w:keepNext w:val="0"/>
        <w:keepLines w:val="0"/>
        <w:widowControl/>
        <w:suppressLineNumbers w:val="0"/>
        <w:autoSpaceDE w:val="0"/>
        <w:autoSpaceDN/>
        <w:spacing w:before="0" w:beforeAutospacing="0" w:after="0" w:afterAutospacing="0" w:line="600" w:lineRule="exact"/>
        <w:ind w:left="0" w:right="0" w:firstLine="640" w:firstLineChars="200"/>
        <w:jc w:val="left"/>
        <w:rPr>
          <w:rFonts w:hint="eastAsia" w:ascii="仿宋_GB2312" w:hAnsi="Calibri" w:eastAsia="仿宋_GB2312" w:cs="仿宋_GB2312"/>
          <w:kern w:val="0"/>
          <w:sz w:val="32"/>
          <w:szCs w:val="32"/>
          <w:lang w:val="en-US" w:eastAsia="zh-CN" w:bidi="ar"/>
        </w:rPr>
      </w:pPr>
      <w:r>
        <w:rPr>
          <w:rFonts w:hint="eastAsia" w:ascii="仿宋_GB2312" w:hAnsi="宋体" w:eastAsia="仿宋_GB2312" w:cs="仿宋_GB2312"/>
          <w:kern w:val="2"/>
          <w:sz w:val="32"/>
          <w:szCs w:val="32"/>
          <w:lang w:val="en-US" w:eastAsia="zh-CN" w:bidi="ar"/>
        </w:rPr>
        <w:t>为深入贯彻党的二十届四中全会、中央城市工作会议精神，落实自然资源部、山西省自然资源厅关于开展市县级国土空间总体规划动态调整完善工作部署，进一步优化国土空间格局，服务保障经济社会高质量发展，衔接国家和省级重大战略部署,</w:t>
      </w:r>
      <w:r>
        <w:rPr>
          <w:rFonts w:hint="eastAsia" w:ascii="仿宋_GB2312" w:hAnsi="Calibri" w:eastAsia="仿宋_GB2312" w:cs="仿宋_GB2312"/>
          <w:kern w:val="0"/>
          <w:sz w:val="32"/>
          <w:szCs w:val="32"/>
          <w:lang w:val="en-US" w:eastAsia="zh-CN" w:bidi="ar"/>
        </w:rPr>
        <w:t>提高规划对经济社会发展的适应性、前瞻性和可操作性，依据《山西省自然资源厅关于印发&lt;市县级国土空间总体规划动态调整完善工作方案&gt;的通知》（晋自然资函〔2026〕167号）等文件要求，结合襄垣县2024年度体检评估结论，我县组织编制了《襄垣县国土空间总体规划（2021—2035年）2026年度动态维护方案》(以下简称《方案》)。</w:t>
      </w:r>
    </w:p>
    <w:p w14:paraId="787CDFEB">
      <w:pPr>
        <w:keepNext w:val="0"/>
        <w:keepLines w:val="0"/>
        <w:widowControl/>
        <w:suppressLineNumbers w:val="0"/>
        <w:autoSpaceDE w:val="0"/>
        <w:autoSpaceDN/>
        <w:spacing w:before="0" w:beforeAutospacing="0" w:after="0" w:afterAutospacing="0" w:line="600" w:lineRule="exact"/>
        <w:ind w:left="0" w:right="0" w:firstLine="640" w:firstLineChars="200"/>
        <w:jc w:val="left"/>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《方案》重点对三条控制线、规划分区、中心城区用地布局和城市四线等进行正向优化，同时衔接“十五五”发展规划和相关专项规划，保障“十五五”建设项目落地实施。以下为《方案》的主要内容:</w:t>
      </w:r>
    </w:p>
    <w:p w14:paraId="535EF0AD">
      <w:pPr>
        <w:pStyle w:val="3"/>
        <w:widowControl/>
        <w:numPr>
          <w:ilvl w:val="0"/>
          <w:numId w:val="1"/>
        </w:numPr>
        <w:tabs>
          <w:tab w:val="left" w:pos="420"/>
        </w:tabs>
        <w:spacing w:before="0" w:beforeAutospacing="0" w:after="0" w:afterAutospacing="0" w:line="360" w:lineRule="auto"/>
        <w:ind w:left="0" w:leftChars="0" w:firstLine="643" w:firstLineChars="200"/>
        <w:rPr>
          <w:rFonts w:hint="eastAsia" w:ascii="黑体" w:hAnsi="宋体" w:eastAsia="黑体" w:cs="黑体"/>
          <w:b/>
          <w:bCs w:val="0"/>
          <w:kern w:val="2"/>
          <w:sz w:val="32"/>
          <w:szCs w:val="32"/>
        </w:rPr>
      </w:pPr>
      <w:r>
        <w:rPr>
          <w:rFonts w:hint="eastAsia" w:ascii="黑体" w:hAnsi="宋体" w:eastAsia="黑体" w:cs="黑体"/>
          <w:b/>
          <w:bCs w:val="0"/>
          <w:kern w:val="2"/>
          <w:sz w:val="32"/>
          <w:szCs w:val="32"/>
        </w:rPr>
        <w:t>空间管控边界维护</w:t>
      </w:r>
    </w:p>
    <w:p w14:paraId="4C0CEF6B">
      <w:pPr>
        <w:pStyle w:val="4"/>
        <w:pageBreakBefore w:val="0"/>
        <w:widowControl/>
        <w:wordWrap/>
        <w:overflowPunct/>
        <w:topLinePunct w:val="0"/>
        <w:bidi w:val="0"/>
        <w:snapToGrid/>
        <w:spacing w:line="360" w:lineRule="auto"/>
        <w:rPr>
          <w:rFonts w:hint="eastAsia" w:ascii="Calibri" w:hAnsi="Calibri" w:eastAsia="仿宋_GB2312" w:cs="Times New Roman"/>
          <w:b/>
          <w:bCs w:val="0"/>
          <w:kern w:val="2"/>
          <w:sz w:val="32"/>
          <w:szCs w:val="32"/>
        </w:rPr>
      </w:pPr>
      <w:r>
        <w:rPr>
          <w:rFonts w:hint="eastAsia" w:ascii="仿宋_GB2312" w:hAnsi="Calibri" w:eastAsia="仿宋_GB2312" w:cs="仿宋_GB2312"/>
          <w:b/>
          <w:bCs w:val="0"/>
          <w:kern w:val="2"/>
          <w:sz w:val="32"/>
          <w:szCs w:val="32"/>
        </w:rPr>
        <w:t>（一）耕地和永久基本农田正向优化</w:t>
      </w:r>
    </w:p>
    <w:p w14:paraId="4962B365">
      <w:pPr>
        <w:keepNext w:val="0"/>
        <w:keepLines w:val="0"/>
        <w:pageBreakBefore w:val="0"/>
        <w:widowControl/>
        <w:suppressLineNumbers w:val="0"/>
        <w:wordWrap/>
        <w:overflowPunct/>
        <w:topLinePunct w:val="0"/>
        <w:autoSpaceDE w:val="0"/>
        <w:autoSpaceDN/>
        <w:bidi w:val="0"/>
        <w:snapToGrid/>
        <w:spacing w:before="0" w:beforeAutospacing="0" w:after="0" w:afterAutospacing="0" w:line="360" w:lineRule="auto"/>
        <w:ind w:left="0" w:right="0" w:firstLine="640" w:firstLineChars="200"/>
        <w:jc w:val="left"/>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按照“数量不减少、质量有提升、布局更优化”的正向优化标准，衔接耕地保护与国土空间绿化专项工作，本轮动态维护将坡度15度以上、零星破碎等不适宜耕种等其他难以长期稳定利用耕地，以及有明确选址的能源、交通、水利等基础设施项目涉及的永久基本农田调出，同时从永久基本农田储备区和可长期稳定利用的高标准农田补划。动态维护后，全县永久基本农田集中连片程度有提升，坡度15度以上的耕地面积有所减少，保护目标不减少、布局更集中连片、质量有提升，符合正向优化要求。</w:t>
      </w:r>
    </w:p>
    <w:p w14:paraId="68AFDFDD">
      <w:pPr>
        <w:pStyle w:val="4"/>
        <w:pageBreakBefore w:val="0"/>
        <w:widowControl/>
        <w:wordWrap/>
        <w:overflowPunct/>
        <w:topLinePunct w:val="0"/>
        <w:bidi w:val="0"/>
        <w:snapToGrid/>
        <w:spacing w:line="360" w:lineRule="auto"/>
        <w:rPr>
          <w:rFonts w:hint="default" w:ascii="Calibri" w:hAnsi="Calibri" w:eastAsia="仿宋_GB2312" w:cs="Times New Roman"/>
          <w:b/>
          <w:bCs w:val="0"/>
          <w:kern w:val="2"/>
          <w:sz w:val="32"/>
          <w:szCs w:val="32"/>
        </w:rPr>
      </w:pPr>
      <w:r>
        <w:rPr>
          <w:rFonts w:hint="eastAsia" w:ascii="仿宋_GB2312" w:hAnsi="Calibri" w:eastAsia="仿宋_GB2312" w:cs="仿宋_GB2312"/>
          <w:b/>
          <w:bCs w:val="0"/>
          <w:kern w:val="2"/>
          <w:sz w:val="32"/>
          <w:szCs w:val="32"/>
        </w:rPr>
        <w:t>（二）生态保护红线正向优化</w:t>
      </w:r>
    </w:p>
    <w:p w14:paraId="1B7BD3AB">
      <w:pPr>
        <w:keepNext w:val="0"/>
        <w:keepLines w:val="0"/>
        <w:pageBreakBefore w:val="0"/>
        <w:widowControl/>
        <w:suppressLineNumbers w:val="0"/>
        <w:kinsoku w:val="0"/>
        <w:wordWrap/>
        <w:overflowPunct/>
        <w:topLinePunct w:val="0"/>
        <w:autoSpaceDE w:val="0"/>
        <w:autoSpaceDN w:val="0"/>
        <w:bidi w:val="0"/>
        <w:adjustRightInd w:val="0"/>
        <w:snapToGrid/>
        <w:spacing w:before="0" w:beforeAutospacing="0" w:after="0" w:afterAutospacing="0" w:line="360" w:lineRule="auto"/>
        <w:ind w:left="0" w:right="0" w:firstLine="640" w:firstLineChars="200"/>
        <w:jc w:val="both"/>
        <w:textAlignment w:val="baseline"/>
        <w:rPr>
          <w:rFonts w:hint="eastAsia" w:ascii="仿宋_GB2312" w:eastAsia="仿宋_GB2312" w:cs="Times New Roman"/>
          <w:kern w:val="0"/>
          <w:sz w:val="32"/>
          <w:szCs w:val="32"/>
        </w:rPr>
      </w:pPr>
      <w:r>
        <w:rPr>
          <w:rFonts w:hint="eastAsia" w:ascii="仿宋_GB2312" w:hAnsi="Calibri" w:eastAsia="仿宋_GB2312" w:cs="仿宋_GB2312"/>
          <w:kern w:val="0"/>
          <w:sz w:val="32"/>
          <w:szCs w:val="32"/>
          <w:lang w:val="en-US" w:eastAsia="zh-CN" w:bidi="ar"/>
        </w:rPr>
        <w:t>本次动态优化暂不对生态保护红线</w:t>
      </w:r>
      <w:r>
        <w:rPr>
          <w:rFonts w:hint="eastAsia" w:ascii="仿宋" w:hAnsi="仿宋" w:eastAsia="仿宋" w:cs="仿宋"/>
          <w:spacing w:val="-6"/>
          <w:kern w:val="0"/>
          <w:sz w:val="32"/>
          <w:szCs w:val="32"/>
          <w:lang w:val="en-US" w:eastAsia="zh-CN" w:bidi="ar"/>
        </w:rPr>
        <w:t>进行</w:t>
      </w:r>
      <w:r>
        <w:rPr>
          <w:rFonts w:hint="eastAsia" w:ascii="仿宋_GB2312" w:hAnsi="Calibri" w:eastAsia="仿宋_GB2312" w:cs="仿宋_GB2312"/>
          <w:kern w:val="0"/>
          <w:sz w:val="32"/>
          <w:szCs w:val="32"/>
          <w:lang w:val="en-US" w:eastAsia="zh-CN" w:bidi="ar"/>
        </w:rPr>
        <w:t>调整。</w:t>
      </w:r>
    </w:p>
    <w:p w14:paraId="5D6D7EF9">
      <w:pPr>
        <w:pStyle w:val="4"/>
        <w:pageBreakBefore w:val="0"/>
        <w:widowControl/>
        <w:wordWrap/>
        <w:overflowPunct/>
        <w:topLinePunct w:val="0"/>
        <w:bidi w:val="0"/>
        <w:snapToGrid/>
        <w:spacing w:line="360" w:lineRule="auto"/>
        <w:rPr>
          <w:rFonts w:hint="default" w:ascii="Calibri" w:hAnsi="Calibri" w:eastAsia="仿宋_GB2312" w:cs="Times New Roman"/>
          <w:b/>
          <w:bCs w:val="0"/>
          <w:kern w:val="2"/>
          <w:sz w:val="32"/>
          <w:szCs w:val="32"/>
        </w:rPr>
      </w:pPr>
      <w:r>
        <w:rPr>
          <w:rFonts w:hint="eastAsia" w:ascii="仿宋_GB2312" w:hAnsi="Calibri" w:eastAsia="仿宋_GB2312" w:cs="仿宋_GB2312"/>
          <w:b/>
          <w:bCs w:val="0"/>
          <w:kern w:val="2"/>
          <w:sz w:val="32"/>
          <w:szCs w:val="32"/>
        </w:rPr>
        <w:t>（三）城镇开发边界正向优化</w:t>
      </w:r>
    </w:p>
    <w:p w14:paraId="46C5E785">
      <w:pPr>
        <w:keepNext w:val="0"/>
        <w:keepLines w:val="0"/>
        <w:pageBreakBefore w:val="0"/>
        <w:widowControl/>
        <w:suppressLineNumbers w:val="0"/>
        <w:kinsoku w:val="0"/>
        <w:wordWrap/>
        <w:overflowPunct/>
        <w:topLinePunct w:val="0"/>
        <w:autoSpaceDE w:val="0"/>
        <w:autoSpaceDN w:val="0"/>
        <w:bidi w:val="0"/>
        <w:adjustRightInd w:val="0"/>
        <w:snapToGrid/>
        <w:spacing w:before="0" w:beforeAutospacing="0" w:after="0" w:afterAutospacing="0" w:line="360" w:lineRule="auto"/>
        <w:ind w:left="0" w:right="0" w:firstLine="640" w:firstLineChars="200"/>
        <w:jc w:val="both"/>
        <w:textAlignment w:val="baseline"/>
        <w:rPr>
          <w:rFonts w:hint="eastAsia" w:ascii="仿宋_GB2312" w:hAnsi="宋体" w:eastAsia="仿宋_GB2312" w:cs="仿宋_GB2312"/>
          <w:kern w:val="2"/>
          <w:sz w:val="32"/>
          <w:szCs w:val="32"/>
          <w:lang w:val="en-US" w:eastAsia="zh-CN" w:bidi="ar"/>
        </w:rPr>
      </w:pPr>
      <w:r>
        <w:rPr>
          <w:rFonts w:hint="eastAsia" w:ascii="仿宋_GB2312" w:hAnsi="宋体" w:eastAsia="仿宋_GB2312" w:cs="仿宋_GB2312"/>
          <w:kern w:val="2"/>
          <w:sz w:val="32"/>
          <w:szCs w:val="32"/>
          <w:lang w:val="en-US" w:eastAsia="zh-CN" w:bidi="ar"/>
        </w:rPr>
        <w:t>结合襄垣县城镇发展实际情况，在不突破城镇开发边界扩展倍数和城镇开发边界总规模的前提下，按照城镇扩展规模等量增减、现状建设用地等量进出的原则，对符合优化情形的区域进行城镇开发边界正向优化。</w:t>
      </w:r>
    </w:p>
    <w:p w14:paraId="01961979">
      <w:pPr>
        <w:keepNext w:val="0"/>
        <w:keepLines w:val="0"/>
        <w:pageBreakBefore w:val="0"/>
        <w:widowControl/>
        <w:suppressLineNumbers w:val="0"/>
        <w:kinsoku w:val="0"/>
        <w:wordWrap/>
        <w:overflowPunct/>
        <w:topLinePunct w:val="0"/>
        <w:autoSpaceDE w:val="0"/>
        <w:autoSpaceDN w:val="0"/>
        <w:bidi w:val="0"/>
        <w:adjustRightInd w:val="0"/>
        <w:snapToGrid/>
        <w:spacing w:before="0" w:beforeAutospacing="0" w:after="0" w:afterAutospacing="0" w:line="360" w:lineRule="auto"/>
        <w:ind w:left="0" w:right="0" w:firstLine="640" w:firstLineChars="200"/>
        <w:jc w:val="both"/>
        <w:textAlignment w:val="baseline"/>
        <w:rPr>
          <w:rFonts w:hint="eastAsia" w:ascii="仿宋_GB2312" w:hAnsi="宋体" w:eastAsia="仿宋_GB2312" w:cs="仿宋_GB2312"/>
          <w:kern w:val="2"/>
          <w:sz w:val="32"/>
          <w:szCs w:val="32"/>
          <w:lang w:val="en-US" w:eastAsia="zh-CN" w:bidi="ar"/>
        </w:rPr>
      </w:pPr>
      <w:r>
        <w:rPr>
          <w:rFonts w:hint="eastAsia" w:ascii="仿宋_GB2312" w:hAnsi="宋体" w:eastAsia="仿宋_GB2312" w:cs="仿宋_GB2312"/>
          <w:kern w:val="2"/>
          <w:sz w:val="32"/>
          <w:szCs w:val="32"/>
          <w:lang w:val="en-US" w:eastAsia="zh-CN" w:bidi="ar"/>
        </w:rPr>
        <w:t>维护后，襄垣县城镇开发边界规模由5835.71公顷调整为5858.46公顷（含22.75公顷直接增补边界），新增建设用地规模由689.20公顷调整为702.26公顷（含13.06公顷直接增补边界），符合正向优化要求。</w:t>
      </w:r>
    </w:p>
    <w:p w14:paraId="5F83ADAD">
      <w:pPr>
        <w:pStyle w:val="4"/>
        <w:pageBreakBefore w:val="0"/>
        <w:widowControl/>
        <w:wordWrap/>
        <w:overflowPunct/>
        <w:topLinePunct w:val="0"/>
        <w:bidi w:val="0"/>
        <w:snapToGrid/>
        <w:spacing w:line="360" w:lineRule="auto"/>
        <w:rPr>
          <w:rFonts w:hint="default" w:ascii="Calibri" w:hAnsi="Calibri" w:eastAsia="仿宋_GB2312" w:cs="Times New Roman"/>
          <w:b/>
          <w:bCs w:val="0"/>
          <w:kern w:val="2"/>
          <w:sz w:val="32"/>
          <w:szCs w:val="32"/>
        </w:rPr>
      </w:pPr>
      <w:r>
        <w:rPr>
          <w:rFonts w:hint="eastAsia" w:ascii="仿宋_GB2312" w:hAnsi="Calibri" w:eastAsia="仿宋_GB2312" w:cs="仿宋_GB2312"/>
          <w:b/>
          <w:bCs w:val="0"/>
          <w:kern w:val="2"/>
          <w:sz w:val="32"/>
          <w:szCs w:val="32"/>
        </w:rPr>
        <w:t>（四）其他控制线维护</w:t>
      </w:r>
    </w:p>
    <w:p w14:paraId="3E019216">
      <w:pPr>
        <w:keepNext w:val="0"/>
        <w:keepLines w:val="0"/>
        <w:pageBreakBefore w:val="0"/>
        <w:widowControl/>
        <w:suppressLineNumbers w:val="0"/>
        <w:kinsoku w:val="0"/>
        <w:wordWrap/>
        <w:overflowPunct/>
        <w:topLinePunct w:val="0"/>
        <w:autoSpaceDE w:val="0"/>
        <w:autoSpaceDN w:val="0"/>
        <w:bidi w:val="0"/>
        <w:adjustRightInd w:val="0"/>
        <w:snapToGrid/>
        <w:spacing w:before="0" w:beforeAutospacing="0" w:after="0" w:afterAutospacing="0" w:line="360" w:lineRule="auto"/>
        <w:ind w:left="0" w:right="0" w:firstLine="640" w:firstLineChars="200"/>
        <w:jc w:val="both"/>
        <w:textAlignment w:val="baseline"/>
        <w:rPr>
          <w:rFonts w:hint="eastAsia" w:ascii="仿宋_GB2312" w:hAnsi="宋体" w:eastAsia="仿宋_GB2312" w:cs="仿宋_GB2312"/>
          <w:kern w:val="2"/>
          <w:sz w:val="32"/>
          <w:szCs w:val="32"/>
          <w:lang w:val="en-US" w:eastAsia="zh-CN" w:bidi="ar"/>
        </w:rPr>
      </w:pPr>
      <w:r>
        <w:rPr>
          <w:rFonts w:hint="eastAsia" w:ascii="仿宋_GB2312" w:hAnsi="宋体" w:eastAsia="仿宋_GB2312" w:cs="仿宋_GB2312"/>
          <w:kern w:val="2"/>
          <w:sz w:val="32"/>
          <w:szCs w:val="32"/>
          <w:lang w:val="en-US" w:eastAsia="zh-CN" w:bidi="ar"/>
        </w:rPr>
        <w:t>本次动态维护对洪涝风险控制线、历史文化保护线等不做调整。</w:t>
      </w:r>
      <w:r>
        <w:rPr>
          <w:rFonts w:hint="eastAsia" w:ascii="仿宋_GB2312" w:hAnsi="仿宋_GB2312" w:eastAsia="仿宋_GB2312" w:cs="仿宋_GB2312"/>
          <w:sz w:val="32"/>
          <w:szCs w:val="32"/>
          <w:lang w:val="en-US" w:eastAsia="zh-CN"/>
        </w:rPr>
        <w:t>划定化工园区安全控制线规模2385.83公顷。</w:t>
      </w:r>
    </w:p>
    <w:p w14:paraId="5B628D27">
      <w:pPr>
        <w:pStyle w:val="3"/>
        <w:widowControl/>
        <w:tabs>
          <w:tab w:val="left" w:pos="420"/>
        </w:tabs>
        <w:spacing w:before="0" w:beforeAutospacing="0" w:after="0" w:afterAutospacing="0" w:line="360" w:lineRule="auto"/>
        <w:ind w:left="0" w:leftChars="0" w:firstLine="643" w:firstLineChars="200"/>
        <w:rPr>
          <w:rFonts w:hint="eastAsia" w:ascii="Arial" w:hAnsi="Arial" w:eastAsia="黑体" w:cs="Times New Roman"/>
          <w:b/>
          <w:bCs w:val="0"/>
          <w:kern w:val="2"/>
          <w:sz w:val="32"/>
          <w:szCs w:val="32"/>
        </w:rPr>
      </w:pPr>
      <w:bookmarkStart w:id="0" w:name="_Toc2239"/>
      <w:r>
        <w:rPr>
          <w:rFonts w:hint="eastAsia" w:ascii="黑体" w:hAnsi="宋体" w:eastAsia="黑体" w:cs="黑体"/>
          <w:b/>
          <w:bCs w:val="0"/>
          <w:kern w:val="2"/>
          <w:sz w:val="32"/>
          <w:szCs w:val="32"/>
        </w:rPr>
        <w:t>二、</w:t>
      </w:r>
      <w:bookmarkEnd w:id="0"/>
      <w:r>
        <w:rPr>
          <w:rFonts w:hint="eastAsia" w:ascii="黑体" w:hAnsi="宋体" w:eastAsia="黑体" w:cs="黑体"/>
          <w:b/>
          <w:bCs w:val="0"/>
          <w:kern w:val="2"/>
          <w:sz w:val="32"/>
          <w:szCs w:val="32"/>
        </w:rPr>
        <w:t>合理优化规划分区</w:t>
      </w:r>
    </w:p>
    <w:p w14:paraId="6912F2D5">
      <w:pPr>
        <w:keepNext w:val="0"/>
        <w:keepLines w:val="0"/>
        <w:widowControl/>
        <w:suppressLineNumbers w:val="0"/>
        <w:autoSpaceDE w:val="0"/>
        <w:autoSpaceDN/>
        <w:spacing w:before="0" w:beforeAutospacing="0" w:after="0" w:afterAutospacing="0" w:line="600" w:lineRule="exact"/>
        <w:ind w:left="0" w:right="0" w:firstLine="640" w:firstLineChars="200"/>
        <w:jc w:val="left"/>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本次动态维护结合三条控制线正向优化、乡镇级以上重点建设项目，衔接拟设矿业权等自然资源管理工作，合理优化农田保护区、城镇发展区、乡村发展区以及矿产能源发展区。并对生态控制区、城镇发展区、乡村发展区的村庄建设区、矿产能源发展区的管控规则进行优化调整。</w:t>
      </w:r>
    </w:p>
    <w:p w14:paraId="1D2A355C">
      <w:pPr>
        <w:pStyle w:val="3"/>
        <w:widowControl/>
        <w:tabs>
          <w:tab w:val="left" w:pos="420"/>
        </w:tabs>
        <w:spacing w:before="0" w:beforeAutospacing="0" w:after="0" w:afterAutospacing="0" w:line="360" w:lineRule="auto"/>
        <w:ind w:left="0" w:leftChars="0" w:firstLine="643" w:firstLineChars="200"/>
        <w:rPr>
          <w:rFonts w:hint="eastAsia" w:ascii="Arial" w:hAnsi="Arial" w:eastAsia="黑体" w:cs="Times New Roman"/>
          <w:b/>
          <w:bCs w:val="0"/>
          <w:kern w:val="2"/>
          <w:sz w:val="32"/>
          <w:szCs w:val="32"/>
        </w:rPr>
      </w:pPr>
      <w:bookmarkStart w:id="1" w:name="_Toc30212"/>
      <w:r>
        <w:rPr>
          <w:rFonts w:hint="eastAsia" w:ascii="黑体" w:hAnsi="宋体" w:eastAsia="黑体" w:cs="黑体"/>
          <w:b/>
          <w:bCs w:val="0"/>
          <w:kern w:val="2"/>
          <w:sz w:val="32"/>
          <w:szCs w:val="32"/>
        </w:rPr>
        <w:t>三、</w:t>
      </w:r>
      <w:bookmarkEnd w:id="1"/>
      <w:r>
        <w:rPr>
          <w:rFonts w:hint="eastAsia" w:ascii="黑体" w:hAnsi="宋体" w:eastAsia="黑体" w:cs="黑体"/>
          <w:b/>
          <w:bCs w:val="0"/>
          <w:kern w:val="2"/>
          <w:sz w:val="32"/>
          <w:szCs w:val="32"/>
        </w:rPr>
        <w:t>中心城区功能布局维护</w:t>
      </w:r>
    </w:p>
    <w:p w14:paraId="273F9B01">
      <w:pPr>
        <w:keepNext w:val="0"/>
        <w:keepLines w:val="0"/>
        <w:widowControl/>
        <w:suppressLineNumbers w:val="0"/>
        <w:autoSpaceDE w:val="0"/>
        <w:autoSpaceDN/>
        <w:spacing w:before="0" w:beforeAutospacing="0" w:after="0" w:afterAutospacing="0" w:line="600" w:lineRule="exact"/>
        <w:ind w:left="0" w:right="0" w:firstLine="640" w:firstLineChars="200"/>
        <w:jc w:val="left"/>
        <w:rPr>
          <w:rFonts w:hint="default" w:ascii="仿宋_GB2312" w:hAnsi="Calibri" w:eastAsia="仿宋_GB2312" w:cs="仿宋_GB2312"/>
          <w:kern w:val="0"/>
          <w:sz w:val="32"/>
          <w:szCs w:val="32"/>
          <w:lang w:val="en-US" w:eastAsia="zh-CN" w:bidi="ar"/>
        </w:rPr>
      </w:pPr>
      <w:r>
        <w:rPr>
          <w:rFonts w:hint="default" w:ascii="仿宋_GB2312" w:hAnsi="Calibri" w:eastAsia="仿宋_GB2312" w:cs="仿宋_GB2312"/>
          <w:kern w:val="0"/>
          <w:sz w:val="32"/>
          <w:szCs w:val="32"/>
          <w:lang w:val="en-US" w:eastAsia="zh-CN" w:bidi="ar"/>
        </w:rPr>
        <w:t>本次中心城区用地布局动态维护在不改变城市总体格局和空间结构的基础上，主要维护内容包括：一是衔接城镇开发边界维护情况，对城镇开发边界调入、调出区域的用地布局进行调整。二是结合城市更新，对低效闲置用地及已取得合法权属的用地，进一步明确规划用途。三是统筹考虑补齐民生基础设施短板，增强规划对近期发展需求的适应性和可实施性。</w:t>
      </w:r>
      <w:bookmarkStart w:id="3" w:name="_GoBack"/>
      <w:bookmarkEnd w:id="3"/>
    </w:p>
    <w:p w14:paraId="0B78A3DA">
      <w:pPr>
        <w:pStyle w:val="3"/>
        <w:widowControl/>
        <w:tabs>
          <w:tab w:val="left" w:pos="420"/>
        </w:tabs>
        <w:spacing w:before="0" w:beforeAutospacing="0" w:after="0" w:afterAutospacing="0" w:line="360" w:lineRule="auto"/>
        <w:ind w:left="0" w:leftChars="0" w:firstLine="643" w:firstLineChars="200"/>
        <w:rPr>
          <w:rFonts w:hint="eastAsia" w:ascii="Arial" w:hAnsi="Arial" w:eastAsia="黑体" w:cs="Times New Roman"/>
          <w:b/>
          <w:bCs w:val="0"/>
          <w:kern w:val="2"/>
          <w:sz w:val="32"/>
          <w:szCs w:val="32"/>
        </w:rPr>
      </w:pPr>
      <w:bookmarkStart w:id="2" w:name="_Toc26716"/>
      <w:r>
        <w:rPr>
          <w:rFonts w:hint="eastAsia" w:ascii="黑体" w:hAnsi="宋体" w:cs="黑体"/>
          <w:b/>
          <w:bCs w:val="0"/>
          <w:kern w:val="2"/>
          <w:sz w:val="32"/>
          <w:szCs w:val="32"/>
          <w:lang w:val="en-US" w:eastAsia="zh-CN"/>
        </w:rPr>
        <w:t>四</w:t>
      </w:r>
      <w:r>
        <w:rPr>
          <w:rFonts w:hint="eastAsia" w:ascii="黑体" w:hAnsi="宋体" w:eastAsia="黑体" w:cs="黑体"/>
          <w:b/>
          <w:bCs w:val="0"/>
          <w:kern w:val="2"/>
          <w:sz w:val="32"/>
          <w:szCs w:val="32"/>
        </w:rPr>
        <w:t>、</w:t>
      </w:r>
      <w:bookmarkEnd w:id="2"/>
      <w:r>
        <w:rPr>
          <w:rFonts w:hint="eastAsia" w:ascii="黑体" w:hAnsi="宋体" w:eastAsia="黑体" w:cs="黑体"/>
          <w:b/>
          <w:bCs w:val="0"/>
          <w:kern w:val="2"/>
          <w:sz w:val="32"/>
          <w:szCs w:val="32"/>
        </w:rPr>
        <w:t>重点建设项目清单维护</w:t>
      </w:r>
    </w:p>
    <w:p w14:paraId="0FCB091B">
      <w:pPr>
        <w:keepNext w:val="0"/>
        <w:keepLines w:val="0"/>
        <w:widowControl/>
        <w:suppressLineNumbers w:val="0"/>
        <w:kinsoku w:val="0"/>
        <w:autoSpaceDE w:val="0"/>
        <w:autoSpaceDN w:val="0"/>
        <w:adjustRightInd w:val="0"/>
        <w:snapToGrid w:val="0"/>
        <w:spacing w:before="0" w:beforeAutospacing="0" w:after="0" w:afterAutospacing="0" w:line="600" w:lineRule="exact"/>
        <w:ind w:left="0" w:right="0" w:firstLine="640" w:firstLineChars="200"/>
        <w:jc w:val="both"/>
        <w:textAlignment w:val="baseline"/>
        <w:rPr>
          <w:rFonts w:hint="eastAsia" w:ascii="仿宋_GB2312" w:hAnsi="Calibri" w:eastAsia="仿宋_GB2312" w:cs="仿宋_GB2312"/>
          <w:kern w:val="0"/>
          <w:sz w:val="32"/>
          <w:szCs w:val="32"/>
          <w:highlight w:val="none"/>
          <w:vertAlign w:val="baseline"/>
          <w:lang w:val="en-US" w:eastAsia="zh-CN" w:bidi="ar"/>
        </w:rPr>
      </w:pPr>
      <w:r>
        <w:rPr>
          <w:rFonts w:hint="eastAsia" w:ascii="仿宋_GB2312" w:hAnsi="Calibri" w:eastAsia="仿宋_GB2312" w:cs="仿宋_GB2312"/>
          <w:kern w:val="0"/>
          <w:sz w:val="32"/>
          <w:szCs w:val="32"/>
          <w:highlight w:val="none"/>
          <w:vertAlign w:val="baseline"/>
          <w:lang w:val="en-US" w:eastAsia="zh-CN" w:bidi="ar"/>
        </w:rPr>
        <w:t>落实国家、省市“十五五”发展规划和国家、省市专项规划确定的重大任务、重大工程空间需求，衔接襄垣县“十五五”发展规划和各专项规划空间需求。</w:t>
      </w:r>
      <w:r>
        <w:rPr>
          <w:rFonts w:hint="default" w:ascii="仿宋_GB2312" w:hAnsi="Calibri" w:eastAsia="仿宋_GB2312" w:cs="仿宋_GB2312"/>
          <w:kern w:val="0"/>
          <w:sz w:val="32"/>
          <w:szCs w:val="32"/>
          <w:highlight w:val="none"/>
          <w:vertAlign w:val="baseline"/>
          <w:lang w:val="en-US" w:eastAsia="zh-CN" w:bidi="ar"/>
        </w:rPr>
        <w:t>维护后，重点项目延续74个（含已实施），更新23个，撤销25个；新增135个。重点建设项目共257个，交通建设类81个、能源建设类41个、水利建设类16个、电力建设类93个、其他类26个。</w:t>
      </w:r>
    </w:p>
    <w:p w14:paraId="6B79CE1C">
      <w:pPr>
        <w:keepNext w:val="0"/>
        <w:keepLines w:val="0"/>
        <w:widowControl/>
        <w:suppressLineNumbers w:val="0"/>
        <w:kinsoku w:val="0"/>
        <w:autoSpaceDE w:val="0"/>
        <w:autoSpaceDN w:val="0"/>
        <w:adjustRightInd w:val="0"/>
        <w:snapToGrid w:val="0"/>
        <w:spacing w:before="0" w:beforeAutospacing="0" w:after="0" w:afterAutospacing="0" w:line="600" w:lineRule="exact"/>
        <w:ind w:left="0" w:right="0" w:firstLine="640" w:firstLineChars="200"/>
        <w:jc w:val="both"/>
        <w:textAlignment w:val="baseline"/>
        <w:rPr>
          <w:rFonts w:hint="eastAsia" w:ascii="仿宋_GB2312" w:hAnsi="Calibri" w:eastAsia="仿宋_GB2312" w:cs="仿宋_GB2312"/>
          <w:kern w:val="0"/>
          <w:sz w:val="32"/>
          <w:szCs w:val="32"/>
          <w:vertAlign w:val="baseline"/>
          <w:lang w:val="en-US" w:eastAsia="zh-CN" w:bidi="ar"/>
        </w:rPr>
      </w:pPr>
      <w:r>
        <w:rPr>
          <w:rFonts w:hint="eastAsia" w:ascii="仿宋_GB2312" w:hAnsi="Calibri" w:eastAsia="仿宋_GB2312" w:cs="仿宋_GB2312"/>
          <w:kern w:val="0"/>
          <w:sz w:val="32"/>
          <w:szCs w:val="32"/>
          <w:vertAlign w:val="baseline"/>
          <w:lang w:val="en-US" w:eastAsia="zh-CN" w:bidi="ar"/>
        </w:rPr>
        <w:t>注：本动态维护方案内容以批复后成果为准。</w:t>
      </w:r>
    </w:p>
    <w:p w14:paraId="79AB9055">
      <w:pPr>
        <w:keepNext w:val="0"/>
        <w:keepLines w:val="0"/>
        <w:widowControl/>
        <w:suppressLineNumbers w:val="0"/>
        <w:kinsoku w:val="0"/>
        <w:autoSpaceDE w:val="0"/>
        <w:autoSpaceDN w:val="0"/>
        <w:adjustRightInd w:val="0"/>
        <w:snapToGrid w:val="0"/>
        <w:spacing w:before="0" w:beforeAutospacing="0" w:after="0" w:afterAutospacing="0" w:line="600" w:lineRule="exact"/>
        <w:ind w:left="0" w:right="0" w:firstLine="640" w:firstLineChars="200"/>
        <w:jc w:val="both"/>
        <w:textAlignment w:val="baseline"/>
        <w:rPr>
          <w:rFonts w:hint="eastAsia" w:ascii="仿宋_GB2312" w:hAnsi="Calibri" w:eastAsia="仿宋_GB2312" w:cs="仿宋_GB2312"/>
          <w:kern w:val="0"/>
          <w:sz w:val="32"/>
          <w:szCs w:val="32"/>
          <w:vertAlign w:val="baseline"/>
          <w:lang w:val="en-US" w:eastAsia="zh-CN" w:bidi="ar"/>
        </w:rPr>
      </w:pPr>
    </w:p>
    <w:p w14:paraId="3FBFB2E6">
      <w:pPr>
        <w:rPr>
          <w:rFonts w:hint="eastAsia" w:ascii="仿宋_GB2312" w:hAnsi="Calibri" w:eastAsia="仿宋_GB2312" w:cs="仿宋_GB2312"/>
          <w:b/>
          <w:bCs/>
          <w:kern w:val="0"/>
          <w:sz w:val="32"/>
          <w:szCs w:val="32"/>
          <w:vertAlign w:val="baseline"/>
          <w:lang w:val="en-US" w:eastAsia="zh-CN" w:bidi="ar"/>
        </w:rPr>
      </w:pPr>
      <w:r>
        <w:rPr>
          <w:rFonts w:hint="eastAsia" w:ascii="仿宋_GB2312" w:hAnsi="Calibri" w:eastAsia="仿宋_GB2312" w:cs="仿宋_GB2312"/>
          <w:b/>
          <w:bCs/>
          <w:kern w:val="0"/>
          <w:sz w:val="32"/>
          <w:szCs w:val="32"/>
          <w:vertAlign w:val="baseline"/>
          <w:lang w:val="en-US" w:eastAsia="zh-CN" w:bidi="ar"/>
        </w:rPr>
        <w:br w:type="page"/>
      </w:r>
    </w:p>
    <w:p w14:paraId="575B692B">
      <w:pPr>
        <w:keepNext w:val="0"/>
        <w:keepLines w:val="0"/>
        <w:widowControl/>
        <w:suppressLineNumbers w:val="0"/>
        <w:kinsoku w:val="0"/>
        <w:autoSpaceDE w:val="0"/>
        <w:autoSpaceDN w:val="0"/>
        <w:adjustRightInd w:val="0"/>
        <w:snapToGrid w:val="0"/>
        <w:spacing w:before="0" w:beforeAutospacing="0" w:after="0" w:afterAutospacing="0" w:line="600" w:lineRule="exact"/>
        <w:ind w:left="0" w:right="0" w:firstLine="643" w:firstLineChars="200"/>
        <w:jc w:val="both"/>
        <w:textAlignment w:val="baseline"/>
        <w:rPr>
          <w:rFonts w:hint="eastAsia" w:ascii="仿宋_GB2312" w:hAnsi="Calibri" w:eastAsia="仿宋_GB2312" w:cs="仿宋_GB2312"/>
          <w:b/>
          <w:bCs/>
          <w:kern w:val="0"/>
          <w:sz w:val="32"/>
          <w:szCs w:val="32"/>
          <w:vertAlign w:val="baseline"/>
          <w:lang w:val="en-US" w:eastAsia="zh-CN" w:bidi="ar"/>
        </w:rPr>
      </w:pPr>
      <w:r>
        <w:rPr>
          <w:rFonts w:hint="eastAsia" w:ascii="仿宋_GB2312" w:hAnsi="Calibri" w:eastAsia="仿宋_GB2312" w:cs="仿宋_GB2312"/>
          <w:b/>
          <w:bCs/>
          <w:kern w:val="0"/>
          <w:sz w:val="32"/>
          <w:szCs w:val="32"/>
          <w:vertAlign w:val="baseline"/>
          <w:lang w:val="en-US" w:eastAsia="zh-CN" w:bidi="ar"/>
        </w:rPr>
        <w:t>附图：</w:t>
      </w:r>
    </w:p>
    <w:p w14:paraId="4C39A307">
      <w:pPr>
        <w:keepNext w:val="0"/>
        <w:keepLines w:val="0"/>
        <w:widowControl/>
        <w:suppressLineNumbers w:val="0"/>
        <w:kinsoku w:val="0"/>
        <w:autoSpaceDE w:val="0"/>
        <w:autoSpaceDN w:val="0"/>
        <w:adjustRightInd w:val="0"/>
        <w:snapToGrid w:val="0"/>
        <w:spacing w:before="0" w:beforeAutospacing="0" w:after="0" w:afterAutospacing="0" w:line="600" w:lineRule="exact"/>
        <w:ind w:left="0" w:right="0" w:firstLine="640" w:firstLineChars="200"/>
        <w:jc w:val="both"/>
        <w:textAlignment w:val="baseline"/>
        <w:rPr>
          <w:rFonts w:hint="default" w:ascii="仿宋_GB2312" w:hAnsi="Calibri" w:eastAsia="仿宋_GB2312" w:cs="仿宋_GB2312"/>
          <w:b w:val="0"/>
          <w:bCs w:val="0"/>
          <w:kern w:val="0"/>
          <w:sz w:val="32"/>
          <w:szCs w:val="32"/>
          <w:vertAlign w:val="baseline"/>
          <w:lang w:val="en-US" w:eastAsia="zh-CN" w:bidi="ar"/>
        </w:rPr>
      </w:pPr>
      <w:r>
        <w:rPr>
          <w:rFonts w:hint="eastAsia" w:ascii="仿宋_GB2312" w:hAnsi="Calibri" w:eastAsia="仿宋_GB2312" w:cs="仿宋_GB2312"/>
          <w:b w:val="0"/>
          <w:bCs w:val="0"/>
          <w:kern w:val="0"/>
          <w:sz w:val="32"/>
          <w:szCs w:val="32"/>
          <w:vertAlign w:val="baseline"/>
          <w:lang w:val="en-US" w:eastAsia="zh-CN" w:bidi="ar"/>
        </w:rPr>
        <w:t>1.</w:t>
      </w:r>
      <w:r>
        <w:rPr>
          <w:rFonts w:hint="default" w:ascii="仿宋_GB2312" w:hAnsi="Calibri" w:eastAsia="仿宋_GB2312" w:cs="仿宋_GB2312"/>
          <w:b w:val="0"/>
          <w:bCs w:val="0"/>
          <w:kern w:val="0"/>
          <w:sz w:val="32"/>
          <w:szCs w:val="32"/>
          <w:vertAlign w:val="baseline"/>
          <w:lang w:val="en-US" w:eastAsia="zh-CN" w:bidi="ar"/>
        </w:rPr>
        <w:t>三条控制线维护前图</w:t>
      </w:r>
    </w:p>
    <w:p w14:paraId="64C00ACE">
      <w:pPr>
        <w:keepNext w:val="0"/>
        <w:keepLines w:val="0"/>
        <w:widowControl/>
        <w:suppressLineNumbers w:val="0"/>
        <w:kinsoku w:val="0"/>
        <w:autoSpaceDE w:val="0"/>
        <w:autoSpaceDN w:val="0"/>
        <w:adjustRightInd w:val="0"/>
        <w:snapToGrid w:val="0"/>
        <w:spacing w:before="0" w:beforeAutospacing="0" w:after="0" w:afterAutospacing="0" w:line="600" w:lineRule="exact"/>
        <w:ind w:left="0" w:right="0" w:firstLine="640" w:firstLineChars="200"/>
        <w:jc w:val="both"/>
        <w:textAlignment w:val="baseline"/>
        <w:rPr>
          <w:rFonts w:hint="default" w:ascii="仿宋_GB2312" w:hAnsi="Calibri" w:eastAsia="仿宋_GB2312" w:cs="仿宋_GB2312"/>
          <w:b w:val="0"/>
          <w:bCs w:val="0"/>
          <w:kern w:val="0"/>
          <w:sz w:val="32"/>
          <w:szCs w:val="32"/>
          <w:vertAlign w:val="baseline"/>
          <w:lang w:val="en-US" w:eastAsia="zh-CN" w:bidi="ar"/>
        </w:rPr>
      </w:pPr>
      <w:r>
        <w:rPr>
          <w:rFonts w:hint="default" w:ascii="仿宋_GB2312" w:hAnsi="Calibri" w:eastAsia="仿宋_GB2312" w:cs="仿宋_GB2312"/>
          <w:b w:val="0"/>
          <w:bCs w:val="0"/>
          <w:kern w:val="0"/>
          <w:sz w:val="32"/>
          <w:szCs w:val="32"/>
          <w:vertAlign w:val="baseline"/>
          <w:lang w:val="en-US" w:eastAsia="zh-CN" w:bidi="ar"/>
        </w:rPr>
        <w:t>2.三条控制线维护后图</w:t>
      </w:r>
    </w:p>
    <w:p w14:paraId="30118017">
      <w:pPr>
        <w:keepNext w:val="0"/>
        <w:keepLines w:val="0"/>
        <w:widowControl/>
        <w:suppressLineNumbers w:val="0"/>
        <w:kinsoku w:val="0"/>
        <w:autoSpaceDE w:val="0"/>
        <w:autoSpaceDN w:val="0"/>
        <w:adjustRightInd w:val="0"/>
        <w:snapToGrid w:val="0"/>
        <w:spacing w:before="0" w:beforeAutospacing="0" w:after="0" w:afterAutospacing="0" w:line="600" w:lineRule="exact"/>
        <w:ind w:left="0" w:right="0" w:firstLine="640" w:firstLineChars="200"/>
        <w:jc w:val="both"/>
        <w:textAlignment w:val="baseline"/>
        <w:rPr>
          <w:rFonts w:hint="default" w:ascii="仿宋_GB2312" w:hAnsi="Calibri" w:eastAsia="仿宋_GB2312" w:cs="仿宋_GB2312"/>
          <w:b w:val="0"/>
          <w:bCs w:val="0"/>
          <w:kern w:val="0"/>
          <w:sz w:val="32"/>
          <w:szCs w:val="32"/>
          <w:vertAlign w:val="baseline"/>
          <w:lang w:val="en-US" w:eastAsia="zh-CN" w:bidi="ar"/>
        </w:rPr>
      </w:pPr>
      <w:r>
        <w:rPr>
          <w:rFonts w:hint="eastAsia" w:ascii="仿宋_GB2312" w:hAnsi="Calibri" w:eastAsia="仿宋_GB2312" w:cs="仿宋_GB2312"/>
          <w:b w:val="0"/>
          <w:bCs w:val="0"/>
          <w:kern w:val="0"/>
          <w:sz w:val="32"/>
          <w:szCs w:val="32"/>
          <w:vertAlign w:val="baseline"/>
          <w:lang w:val="en-US" w:eastAsia="zh-CN" w:bidi="ar"/>
        </w:rPr>
        <w:t>3.</w:t>
      </w:r>
      <w:r>
        <w:rPr>
          <w:rFonts w:hint="default" w:ascii="仿宋_GB2312" w:hAnsi="Calibri" w:eastAsia="仿宋_GB2312" w:cs="仿宋_GB2312"/>
          <w:b w:val="0"/>
          <w:bCs w:val="0"/>
          <w:kern w:val="0"/>
          <w:sz w:val="32"/>
          <w:szCs w:val="32"/>
          <w:vertAlign w:val="baseline"/>
          <w:lang w:val="en-US" w:eastAsia="zh-CN" w:bidi="ar"/>
        </w:rPr>
        <w:t>永久基本农田维护后图</w:t>
      </w:r>
    </w:p>
    <w:p w14:paraId="4038F961">
      <w:pPr>
        <w:keepNext w:val="0"/>
        <w:keepLines w:val="0"/>
        <w:widowControl/>
        <w:suppressLineNumbers w:val="0"/>
        <w:kinsoku w:val="0"/>
        <w:autoSpaceDE w:val="0"/>
        <w:autoSpaceDN w:val="0"/>
        <w:adjustRightInd w:val="0"/>
        <w:snapToGrid w:val="0"/>
        <w:spacing w:before="0" w:beforeAutospacing="0" w:after="0" w:afterAutospacing="0" w:line="600" w:lineRule="exact"/>
        <w:ind w:left="0" w:right="0" w:firstLine="640" w:firstLineChars="200"/>
        <w:jc w:val="both"/>
        <w:textAlignment w:val="baseline"/>
        <w:rPr>
          <w:rFonts w:hint="eastAsia" w:ascii="仿宋_GB2312" w:hAnsi="Calibri" w:eastAsia="仿宋_GB2312" w:cs="仿宋_GB2312"/>
          <w:b w:val="0"/>
          <w:bCs w:val="0"/>
          <w:kern w:val="0"/>
          <w:sz w:val="32"/>
          <w:szCs w:val="32"/>
          <w:vertAlign w:val="baseline"/>
          <w:lang w:val="en-US" w:eastAsia="zh-CN" w:bidi="ar"/>
        </w:rPr>
      </w:pPr>
      <w:r>
        <w:rPr>
          <w:rFonts w:hint="eastAsia" w:ascii="仿宋_GB2312" w:hAnsi="Calibri" w:eastAsia="仿宋_GB2312" w:cs="仿宋_GB2312"/>
          <w:b w:val="0"/>
          <w:bCs w:val="0"/>
          <w:kern w:val="0"/>
          <w:sz w:val="32"/>
          <w:szCs w:val="32"/>
          <w:vertAlign w:val="baseline"/>
          <w:lang w:val="en-US" w:eastAsia="zh-CN" w:bidi="ar"/>
        </w:rPr>
        <w:t>4.城镇开发边界维护后图</w:t>
      </w:r>
    </w:p>
    <w:p w14:paraId="010C41DA">
      <w:pPr>
        <w:keepNext w:val="0"/>
        <w:keepLines w:val="0"/>
        <w:widowControl/>
        <w:suppressLineNumbers w:val="0"/>
        <w:kinsoku w:val="0"/>
        <w:autoSpaceDE w:val="0"/>
        <w:autoSpaceDN w:val="0"/>
        <w:adjustRightInd w:val="0"/>
        <w:snapToGrid w:val="0"/>
        <w:spacing w:before="0" w:beforeAutospacing="0" w:after="0" w:afterAutospacing="0" w:line="600" w:lineRule="exact"/>
        <w:ind w:left="0" w:right="0" w:firstLine="640" w:firstLineChars="200"/>
        <w:jc w:val="both"/>
        <w:textAlignment w:val="baseline"/>
        <w:rPr>
          <w:rFonts w:hint="eastAsia" w:ascii="仿宋_GB2312" w:hAnsi="Calibri" w:eastAsia="仿宋_GB2312" w:cs="仿宋_GB2312"/>
          <w:b w:val="0"/>
          <w:bCs w:val="0"/>
          <w:kern w:val="0"/>
          <w:sz w:val="32"/>
          <w:szCs w:val="32"/>
          <w:vertAlign w:val="baseline"/>
          <w:lang w:val="en-US" w:eastAsia="zh-CN" w:bidi="ar"/>
        </w:rPr>
      </w:pPr>
      <w:r>
        <w:rPr>
          <w:rFonts w:hint="eastAsia" w:ascii="仿宋_GB2312" w:hAnsi="Calibri" w:eastAsia="仿宋_GB2312" w:cs="仿宋_GB2312"/>
          <w:b w:val="0"/>
          <w:bCs w:val="0"/>
          <w:kern w:val="0"/>
          <w:sz w:val="32"/>
          <w:szCs w:val="32"/>
          <w:vertAlign w:val="baseline"/>
          <w:lang w:val="en-US" w:eastAsia="zh-CN" w:bidi="ar"/>
        </w:rPr>
        <w:t>5.国土空间规划分区规划图（维护前）</w:t>
      </w:r>
    </w:p>
    <w:p w14:paraId="34014FD4">
      <w:pPr>
        <w:keepNext w:val="0"/>
        <w:keepLines w:val="0"/>
        <w:widowControl/>
        <w:suppressLineNumbers w:val="0"/>
        <w:kinsoku w:val="0"/>
        <w:autoSpaceDE w:val="0"/>
        <w:autoSpaceDN w:val="0"/>
        <w:adjustRightInd w:val="0"/>
        <w:snapToGrid w:val="0"/>
        <w:spacing w:before="0" w:beforeAutospacing="0" w:after="0" w:afterAutospacing="0" w:line="600" w:lineRule="exact"/>
        <w:ind w:left="0" w:right="0" w:firstLine="640" w:firstLineChars="200"/>
        <w:jc w:val="both"/>
        <w:textAlignment w:val="baseline"/>
        <w:rPr>
          <w:rFonts w:hint="eastAsia" w:ascii="仿宋_GB2312" w:hAnsi="Calibri" w:eastAsia="仿宋_GB2312" w:cs="仿宋_GB2312"/>
          <w:b w:val="0"/>
          <w:bCs w:val="0"/>
          <w:kern w:val="0"/>
          <w:sz w:val="32"/>
          <w:szCs w:val="32"/>
          <w:vertAlign w:val="baseline"/>
          <w:lang w:val="en-US" w:eastAsia="zh-CN" w:bidi="ar"/>
        </w:rPr>
      </w:pPr>
      <w:r>
        <w:rPr>
          <w:rFonts w:hint="eastAsia" w:ascii="仿宋_GB2312" w:hAnsi="Calibri" w:eastAsia="仿宋_GB2312" w:cs="仿宋_GB2312"/>
          <w:b w:val="0"/>
          <w:bCs w:val="0"/>
          <w:kern w:val="0"/>
          <w:sz w:val="32"/>
          <w:szCs w:val="32"/>
          <w:vertAlign w:val="baseline"/>
          <w:lang w:val="en-US" w:eastAsia="zh-CN" w:bidi="ar"/>
        </w:rPr>
        <w:t>6.国土空间规划分区规划图（维护后）</w:t>
      </w:r>
    </w:p>
    <w:p w14:paraId="1201D8E5">
      <w:pPr>
        <w:keepNext w:val="0"/>
        <w:keepLines w:val="0"/>
        <w:widowControl/>
        <w:suppressLineNumbers w:val="0"/>
        <w:kinsoku w:val="0"/>
        <w:autoSpaceDE w:val="0"/>
        <w:autoSpaceDN w:val="0"/>
        <w:adjustRightInd w:val="0"/>
        <w:snapToGrid w:val="0"/>
        <w:spacing w:before="0" w:beforeAutospacing="0" w:after="0" w:afterAutospacing="0" w:line="600" w:lineRule="exact"/>
        <w:ind w:left="0" w:right="0" w:firstLine="640" w:firstLineChars="200"/>
        <w:jc w:val="both"/>
        <w:textAlignment w:val="baseline"/>
        <w:rPr>
          <w:rFonts w:hint="eastAsia" w:ascii="仿宋_GB2312" w:hAnsi="Calibri" w:eastAsia="仿宋_GB2312" w:cs="仿宋_GB2312"/>
          <w:b w:val="0"/>
          <w:bCs w:val="0"/>
          <w:kern w:val="0"/>
          <w:sz w:val="32"/>
          <w:szCs w:val="32"/>
          <w:vertAlign w:val="baseline"/>
          <w:lang w:val="en-US" w:eastAsia="zh-CN" w:bidi="ar"/>
        </w:rPr>
      </w:pPr>
      <w:r>
        <w:rPr>
          <w:rFonts w:hint="eastAsia" w:ascii="仿宋_GB2312" w:hAnsi="Calibri" w:eastAsia="仿宋_GB2312" w:cs="仿宋_GB2312"/>
          <w:b w:val="0"/>
          <w:bCs w:val="0"/>
          <w:kern w:val="0"/>
          <w:sz w:val="32"/>
          <w:szCs w:val="32"/>
          <w:vertAlign w:val="baseline"/>
          <w:lang w:val="en-US" w:eastAsia="zh-CN" w:bidi="ar"/>
        </w:rPr>
        <w:t>7.中心城区用地规划布局图（维护前）</w:t>
      </w:r>
    </w:p>
    <w:p w14:paraId="77D93DDF">
      <w:pPr>
        <w:keepNext w:val="0"/>
        <w:keepLines w:val="0"/>
        <w:widowControl/>
        <w:suppressLineNumbers w:val="0"/>
        <w:kinsoku w:val="0"/>
        <w:autoSpaceDE w:val="0"/>
        <w:autoSpaceDN w:val="0"/>
        <w:adjustRightInd w:val="0"/>
        <w:snapToGrid w:val="0"/>
        <w:spacing w:before="0" w:beforeAutospacing="0" w:after="0" w:afterAutospacing="0" w:line="600" w:lineRule="exact"/>
        <w:ind w:left="0" w:right="0" w:firstLine="640" w:firstLineChars="200"/>
        <w:jc w:val="both"/>
        <w:textAlignment w:val="baseline"/>
        <w:rPr>
          <w:rFonts w:hint="default" w:ascii="仿宋_GB2312" w:hAnsi="Calibri" w:eastAsia="仿宋_GB2312" w:cs="仿宋_GB2312"/>
          <w:b w:val="0"/>
          <w:bCs w:val="0"/>
          <w:kern w:val="0"/>
          <w:sz w:val="32"/>
          <w:szCs w:val="32"/>
          <w:vertAlign w:val="baseline"/>
          <w:lang w:val="en-US" w:eastAsia="zh-CN" w:bidi="ar"/>
        </w:rPr>
      </w:pPr>
      <w:r>
        <w:rPr>
          <w:rFonts w:hint="eastAsia" w:ascii="仿宋_GB2312" w:hAnsi="Calibri" w:eastAsia="仿宋_GB2312" w:cs="仿宋_GB2312"/>
          <w:b w:val="0"/>
          <w:bCs w:val="0"/>
          <w:kern w:val="0"/>
          <w:sz w:val="32"/>
          <w:szCs w:val="32"/>
          <w:vertAlign w:val="baseline"/>
          <w:lang w:val="en-US" w:eastAsia="zh-CN" w:bidi="ar"/>
        </w:rPr>
        <w:t>8.中心城区用地规划布局图（维护后）</w:t>
      </w:r>
    </w:p>
    <w:p w14:paraId="08C41297">
      <w:pPr>
        <w:keepNext w:val="0"/>
        <w:keepLines w:val="0"/>
        <w:widowControl/>
        <w:suppressLineNumbers w:val="0"/>
        <w:kinsoku w:val="0"/>
        <w:autoSpaceDE w:val="0"/>
        <w:autoSpaceDN w:val="0"/>
        <w:adjustRightInd w:val="0"/>
        <w:snapToGrid w:val="0"/>
        <w:spacing w:before="0" w:beforeAutospacing="0" w:after="0" w:afterAutospacing="0" w:line="600" w:lineRule="exact"/>
        <w:ind w:left="0" w:right="0" w:firstLine="640" w:firstLineChars="200"/>
        <w:jc w:val="both"/>
        <w:textAlignment w:val="baseline"/>
        <w:rPr>
          <w:rFonts w:hint="default" w:ascii="仿宋_GB2312" w:hAnsi="Calibri" w:eastAsia="仿宋_GB2312" w:cs="仿宋_GB2312"/>
          <w:b w:val="0"/>
          <w:bCs w:val="0"/>
          <w:kern w:val="0"/>
          <w:sz w:val="32"/>
          <w:szCs w:val="32"/>
          <w:vertAlign w:val="baseline"/>
          <w:lang w:val="en-US" w:eastAsia="zh-CN" w:bidi="ar"/>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0A51A7-F24D-4D70-9549-A5446C4938CE}"/>
  </w:font>
  <w:font w:name="黑体">
    <w:panose1 w:val="02010609060101010101"/>
    <w:charset w:val="86"/>
    <w:family w:val="auto"/>
    <w:pitch w:val="default"/>
    <w:sig w:usb0="800002BF" w:usb1="38CF7CFA" w:usb2="00000016" w:usb3="00000000" w:csb0="00040001" w:csb1="00000000"/>
    <w:embedRegular r:id="rId2" w:fontKey="{3F2D8C91-165B-4DFA-92C6-B81FE3A7B3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9190537-C1F6-42D2-97D1-DB3756F2ACEF}"/>
  </w:font>
  <w:font w:name="仿宋_GB2312">
    <w:panose1 w:val="02010609030101010101"/>
    <w:charset w:val="86"/>
    <w:family w:val="auto"/>
    <w:pitch w:val="default"/>
    <w:sig w:usb0="00000001" w:usb1="080E0000" w:usb2="00000000" w:usb3="00000000" w:csb0="00040000" w:csb1="00000000"/>
    <w:embedRegular r:id="rId4" w:fontKey="{3F7B925C-93DB-482A-BB37-ADFDF2BF8D68}"/>
  </w:font>
  <w:font w:name="仿宋">
    <w:panose1 w:val="02010609060101010101"/>
    <w:charset w:val="86"/>
    <w:family w:val="auto"/>
    <w:pitch w:val="default"/>
    <w:sig w:usb0="800002BF" w:usb1="38CF7CFA" w:usb2="00000016" w:usb3="00000000" w:csb0="00040001" w:csb1="00000000"/>
    <w:embedRegular r:id="rId5" w:fontKey="{278EA23E-607E-4E46-A39B-2CE3EDF6761E}"/>
  </w:font>
  <w:font w:name="方正小标宋简体">
    <w:panose1 w:val="02000000000000000000"/>
    <w:charset w:val="86"/>
    <w:family w:val="auto"/>
    <w:pitch w:val="default"/>
    <w:sig w:usb0="00000001" w:usb1="08000000" w:usb2="00000000" w:usb3="00000000" w:csb0="00040000" w:csb1="00000000"/>
    <w:embedRegular r:id="rId6" w:fontKey="{9585BFAC-D4E9-44E6-9294-C70CA87D341C}"/>
  </w:font>
  <w:font w:name="方正公文小标宋">
    <w:panose1 w:val="02000500000000000000"/>
    <w:charset w:val="86"/>
    <w:family w:val="auto"/>
    <w:pitch w:val="default"/>
    <w:sig w:usb0="A00002BF" w:usb1="38CF7CFA" w:usb2="00000016" w:usb3="00000000" w:csb0="00040001" w:csb1="00000000"/>
    <w:embedRegular r:id="rId7" w:fontKey="{C8B855F9-D16D-4FEC-9F5A-6B353189B95C}"/>
  </w:font>
  <w:font w:name="楷体">
    <w:panose1 w:val="02010609060101010101"/>
    <w:charset w:val="86"/>
    <w:family w:val="auto"/>
    <w:pitch w:val="default"/>
    <w:sig w:usb0="800002BF" w:usb1="38CF7CFA" w:usb2="00000016" w:usb3="00000000" w:csb0="00040001" w:csb1="00000000"/>
    <w:embedRegular r:id="rId8" w:fontKey="{886C262E-310F-4DD4-ADB8-C8DF1F919CFE}"/>
  </w:font>
  <w:font w:name="WPSEMBED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CFD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077E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0077E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0F4B2"/>
    <w:multiLevelType w:val="singleLevel"/>
    <w:tmpl w:val="B4E0F4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539E8"/>
    <w:rsid w:val="020A5435"/>
    <w:rsid w:val="05616943"/>
    <w:rsid w:val="0BC639A4"/>
    <w:rsid w:val="15B80929"/>
    <w:rsid w:val="192166BD"/>
    <w:rsid w:val="19824E0D"/>
    <w:rsid w:val="1BF32215"/>
    <w:rsid w:val="1C8164B9"/>
    <w:rsid w:val="1D281CF6"/>
    <w:rsid w:val="1E2E78B2"/>
    <w:rsid w:val="21BA76AF"/>
    <w:rsid w:val="223E208E"/>
    <w:rsid w:val="231F5A1C"/>
    <w:rsid w:val="29DA06E3"/>
    <w:rsid w:val="2D5B1D46"/>
    <w:rsid w:val="2E89643F"/>
    <w:rsid w:val="30144218"/>
    <w:rsid w:val="30AB6B41"/>
    <w:rsid w:val="35E252B6"/>
    <w:rsid w:val="37694435"/>
    <w:rsid w:val="3D086415"/>
    <w:rsid w:val="3F67457A"/>
    <w:rsid w:val="45592BB7"/>
    <w:rsid w:val="4CA0731E"/>
    <w:rsid w:val="513444D8"/>
    <w:rsid w:val="513B53FC"/>
    <w:rsid w:val="51D27F79"/>
    <w:rsid w:val="52FE6B4C"/>
    <w:rsid w:val="549F7EBB"/>
    <w:rsid w:val="55654C60"/>
    <w:rsid w:val="55B33C1E"/>
    <w:rsid w:val="5895240C"/>
    <w:rsid w:val="5B977B3E"/>
    <w:rsid w:val="5BE945C1"/>
    <w:rsid w:val="5DD706C5"/>
    <w:rsid w:val="62C1381A"/>
    <w:rsid w:val="662B662D"/>
    <w:rsid w:val="68ED310C"/>
    <w:rsid w:val="6933534A"/>
    <w:rsid w:val="6FAF4775"/>
    <w:rsid w:val="714F6A99"/>
    <w:rsid w:val="7A6B0907"/>
    <w:rsid w:val="7CAA54CB"/>
    <w:rsid w:val="7D4F7E21"/>
    <w:rsid w:val="7F0539E8"/>
    <w:rsid w:val="7F952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Lines="0" w:beforeAutospacing="0" w:after="330" w:afterLines="0" w:afterAutospacing="0" w:line="576" w:lineRule="auto"/>
      <w:jc w:val="center"/>
      <w:outlineLvl w:val="0"/>
    </w:pPr>
    <w:rPr>
      <w:rFonts w:hint="default" w:ascii="Calibri" w:hAnsi="Calibri" w:eastAsia="宋体" w:cs="Times New Roman"/>
      <w:b/>
      <w:bCs/>
      <w:kern w:val="44"/>
      <w:sz w:val="32"/>
      <w:szCs w:val="32"/>
      <w:lang w:val="en-US" w:eastAsia="zh-CN" w:bidi="ar"/>
    </w:rPr>
  </w:style>
  <w:style w:type="paragraph" w:styleId="3">
    <w:name w:val="heading 2"/>
    <w:basedOn w:val="1"/>
    <w:next w:val="1"/>
    <w:semiHidden/>
    <w:unhideWhenUsed/>
    <w:qFormat/>
    <w:uiPriority w:val="0"/>
    <w:pPr>
      <w:keepNext/>
      <w:keepLines/>
      <w:widowControl w:val="0"/>
      <w:suppressLineNumbers w:val="0"/>
      <w:spacing w:before="260" w:beforeLines="0" w:beforeAutospacing="0" w:after="260" w:afterLines="0" w:afterAutospacing="0" w:line="412" w:lineRule="auto"/>
      <w:jc w:val="both"/>
      <w:outlineLvl w:val="1"/>
    </w:pPr>
    <w:rPr>
      <w:rFonts w:hint="default" w:ascii="Arial" w:hAnsi="Arial" w:eastAsia="黑体" w:cs="Times New Roman"/>
      <w:b/>
      <w:bCs/>
      <w:kern w:val="2"/>
      <w:sz w:val="32"/>
      <w:szCs w:val="32"/>
      <w:lang w:val="en-US" w:eastAsia="zh-CN" w:bidi="ar"/>
    </w:rPr>
  </w:style>
  <w:style w:type="paragraph" w:styleId="4">
    <w:name w:val="heading 3"/>
    <w:basedOn w:val="1"/>
    <w:next w:val="1"/>
    <w:semiHidden/>
    <w:unhideWhenUsed/>
    <w:qFormat/>
    <w:uiPriority w:val="0"/>
    <w:pPr>
      <w:keepNext/>
      <w:keepLines/>
      <w:widowControl w:val="0"/>
      <w:suppressLineNumbers w:val="0"/>
      <w:spacing w:before="0" w:beforeLines="0" w:beforeAutospacing="0" w:after="0" w:afterLines="0" w:afterAutospacing="0" w:line="360" w:lineRule="auto"/>
      <w:ind w:firstLine="720" w:firstLineChars="200"/>
      <w:jc w:val="both"/>
      <w:outlineLvl w:val="2"/>
    </w:pPr>
    <w:rPr>
      <w:rFonts w:hint="default" w:ascii="Calibri" w:hAnsi="Calibri" w:eastAsia="仿宋_GB2312" w:cs="Times New Roman"/>
      <w:b/>
      <w:bCs/>
      <w:kern w:val="2"/>
      <w:sz w:val="32"/>
      <w:szCs w:val="32"/>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表头"/>
    <w:basedOn w:val="1"/>
    <w:qFormat/>
    <w:uiPriority w:val="0"/>
    <w:pPr>
      <w:spacing w:line="560" w:lineRule="exact"/>
      <w:jc w:val="center"/>
    </w:pPr>
    <w:rPr>
      <w:rFonts w:hint="eastAsia" w:ascii="仿宋" w:hAnsi="仿宋" w:eastAsia="仿宋" w:cs="仿宋"/>
      <w:color w:val="auto"/>
      <w:szCs w:val="21"/>
    </w:rPr>
  </w:style>
  <w:style w:type="paragraph" w:customStyle="1" w:styleId="10">
    <w:name w:val="表格"/>
    <w:basedOn w:val="1"/>
    <w:qFormat/>
    <w:uiPriority w:val="0"/>
    <w:pPr>
      <w:widowControl/>
      <w:jc w:val="center"/>
    </w:pPr>
    <w:rPr>
      <w:rFonts w:hint="eastAsia" w:ascii="仿宋" w:hAnsi="仿宋" w:eastAsia="仿宋" w:cs="仿宋"/>
      <w:b/>
      <w:color w:val="auto"/>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1525</Words>
  <Characters>1591</Characters>
  <Lines>0</Lines>
  <Paragraphs>0</Paragraphs>
  <TotalTime>7</TotalTime>
  <ScaleCrop>false</ScaleCrop>
  <LinksUpToDate>false</LinksUpToDate>
  <CharactersWithSpaces>1594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2026-05-12T01:55:00Z</dcterms:created>
  <dc:creator>唔西迪西</dc:creator>
  <cp:lastModifiedBy>BB</cp:lastModifiedBy>
  <dcterms:modified xsi:type="dcterms:W3CDTF">2026-06-25T09:11:22Z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06B5F3B1715547DA95CF76C35B18F1FA_13</vt:lpwstr>
  </property>
  <property fmtid="{D5CDD505-2E9C-101B-9397-08002B2CF9AE}" pid="4" name="KSOTemplateDocerSaveRecord">
    <vt:lpwstr>eyJoZGlkIjoiMDg1YWM2ZmFkNjI4Y2ZkYTIzNDEwNDhiNTMyNjM0ZjkiLCJ1c2VySWQiOiIyMjg0Nzg3NjQifQ==</vt:lpwstr>
  </property>
</Properties>
</file>