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0" w:firstLineChars="0"/>
        <w:jc w:val="center"/>
        <w:rPr>
          <w:rFonts w:ascii="Times New Roman" w:hAnsi="Times New Roman" w:eastAsia="黑体" w:cs="Times New Roman"/>
          <w:b/>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
          <w:sz w:val="44"/>
          <w:szCs w:val="44"/>
        </w:rPr>
      </w:pPr>
      <w:r>
        <w:rPr>
          <w:rFonts w:hint="eastAsia" w:ascii="宋体" w:hAnsi="宋体" w:eastAsia="宋体" w:cs="宋体"/>
          <w:b/>
          <w:sz w:val="44"/>
          <w:szCs w:val="44"/>
        </w:rPr>
        <w:t>襄垣县村庄分类布局规划（2021-2035</w:t>
      </w:r>
      <w:r>
        <w:rPr>
          <w:rFonts w:hint="eastAsia" w:ascii="宋体" w:hAnsi="宋体" w:eastAsia="宋体" w:cs="宋体"/>
          <w:b/>
          <w:sz w:val="44"/>
          <w:szCs w:val="44"/>
          <w:lang w:eastAsia="zh-CN"/>
        </w:rPr>
        <w:t>年</w:t>
      </w:r>
      <w:r>
        <w:rPr>
          <w:rFonts w:hint="eastAsia" w:ascii="宋体" w:hAnsi="宋体" w:eastAsia="宋体" w:cs="宋体"/>
          <w:b/>
          <w:sz w:val="44"/>
          <w:szCs w:val="44"/>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宋体" w:hAnsi="宋体" w:eastAsia="宋体" w:cs="宋体"/>
          <w:b/>
          <w:sz w:val="44"/>
          <w:szCs w:val="44"/>
        </w:rPr>
      </w:pPr>
      <w:r>
        <w:rPr>
          <w:rFonts w:hint="eastAsia" w:ascii="宋体" w:hAnsi="宋体" w:eastAsia="宋体" w:cs="宋体"/>
          <w:b/>
          <w:sz w:val="44"/>
          <w:szCs w:val="44"/>
        </w:rPr>
        <w:t>公众征求意见稿</w:t>
      </w:r>
    </w:p>
    <w:p>
      <w:pPr>
        <w:pStyle w:val="2"/>
        <w:keepNext w:val="0"/>
        <w:keepLines w:val="0"/>
        <w:pageBreakBefore w:val="0"/>
        <w:widowControl w:val="0"/>
        <w:kinsoku/>
        <w:wordWrap/>
        <w:overflowPunct/>
        <w:topLinePunct w:val="0"/>
        <w:autoSpaceDE/>
        <w:autoSpaceDN/>
        <w:bidi w:val="0"/>
        <w:spacing w:line="560" w:lineRule="exact"/>
        <w:textAlignment w:val="auto"/>
        <w:rPr>
          <w:rFonts w:hint="eastAsia"/>
        </w:rPr>
      </w:pP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ascii="仿宋" w:hAnsi="仿宋" w:cs="仿宋"/>
          <w:sz w:val="32"/>
          <w:szCs w:val="32"/>
        </w:rPr>
      </w:pPr>
      <w:r>
        <w:rPr>
          <w:rFonts w:hint="eastAsia" w:ascii="仿宋" w:hAnsi="仿宋" w:cs="仿宋"/>
          <w:sz w:val="32"/>
          <w:szCs w:val="32"/>
        </w:rPr>
        <w:t>为深</w:t>
      </w:r>
      <w:r>
        <w:rPr>
          <w:rFonts w:hint="eastAsia" w:ascii="仿宋" w:hAnsi="仿宋" w:cs="仿宋"/>
          <w:sz w:val="32"/>
          <w:szCs w:val="32"/>
          <w:lang w:eastAsia="zh-CN"/>
        </w:rPr>
        <w:t>入</w:t>
      </w:r>
      <w:r>
        <w:rPr>
          <w:rFonts w:hint="eastAsia" w:ascii="仿宋" w:hAnsi="仿宋" w:cs="仿宋"/>
          <w:sz w:val="32"/>
          <w:szCs w:val="32"/>
        </w:rPr>
        <w:t>推进襄垣县乡村振兴战略实施，根据《山西省人民政府办公厅关于加快推进村庄规划编制工作的通知》《山西省自然资源厅关于加快推进县域村庄布点规划编制的通知》《山西省巩固拓展脱贫攻坚成果同乡村振兴有效衔接领导小组办公室 关于开展2022年度巩固拓展脱贫攻坚成果同乡村振兴有效衔接考核评估自查自评的通知》，襄垣县自然资源局组织编制了《襄垣县村庄分类布局规划（2021-2035</w:t>
      </w:r>
      <w:r>
        <w:rPr>
          <w:rFonts w:hint="eastAsia" w:ascii="仿宋" w:hAnsi="仿宋" w:cs="仿宋"/>
          <w:sz w:val="32"/>
          <w:szCs w:val="32"/>
          <w:lang w:eastAsia="zh-CN"/>
        </w:rPr>
        <w:t>年</w:t>
      </w:r>
      <w:r>
        <w:rPr>
          <w:rFonts w:hint="eastAsia" w:ascii="仿宋" w:hAnsi="仿宋" w:cs="仿宋"/>
          <w:sz w:val="32"/>
          <w:szCs w:val="32"/>
        </w:rPr>
        <w:t>）》（送审稿）。根据《中华人民共和国城乡规划法》的有关规定，为体现“政府组织、专家领衔、部门合作、公众参与、科学决策”的规划编制原则，现就《襄垣县村庄分类布局规划（2021-2035</w:t>
      </w:r>
      <w:r>
        <w:rPr>
          <w:rFonts w:hint="eastAsia" w:ascii="仿宋" w:hAnsi="仿宋" w:cs="仿宋"/>
          <w:sz w:val="32"/>
          <w:szCs w:val="32"/>
          <w:lang w:eastAsia="zh-CN"/>
        </w:rPr>
        <w:t>年</w:t>
      </w:r>
      <w:r>
        <w:rPr>
          <w:rFonts w:hint="eastAsia" w:ascii="仿宋" w:hAnsi="仿宋" w:cs="仿宋"/>
          <w:sz w:val="32"/>
          <w:szCs w:val="32"/>
        </w:rPr>
        <w:t>）》（送审稿）主要内容进行公示，征求公众意见。任何单位和个人均可在公示期内登录网站查询规划相关内容，以书面或电子邮件形式反馈，对规划提出意见或建议。为了便于更好的沟通和完善规划，请在提出意见或建议时，署真实姓名和联系电话，以单位名义反映情况的应加盖单位公章。</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ascii="仿宋" w:hAnsi="仿宋" w:cs="仿宋"/>
          <w:sz w:val="32"/>
          <w:szCs w:val="32"/>
        </w:rPr>
      </w:pPr>
      <w:r>
        <w:rPr>
          <w:rFonts w:hint="eastAsia" w:ascii="仿宋" w:hAnsi="仿宋" w:cs="仿宋"/>
          <w:sz w:val="32"/>
          <w:szCs w:val="32"/>
        </w:rPr>
        <w:t>电子邮件：</w:t>
      </w:r>
      <w:r>
        <w:rPr>
          <w:rFonts w:hint="eastAsia" w:ascii="仿宋" w:hAnsi="仿宋" w:cs="仿宋"/>
          <w:sz w:val="32"/>
          <w:szCs w:val="32"/>
          <w:lang w:val="en-US" w:eastAsia="zh-CN"/>
        </w:rPr>
        <w:t>xygtkjgh308@</w:t>
      </w:r>
      <w:r>
        <w:rPr>
          <w:rFonts w:hint="eastAsia" w:ascii="仿宋" w:hAnsi="仿宋" w:cs="仿宋"/>
          <w:sz w:val="32"/>
          <w:szCs w:val="32"/>
        </w:rPr>
        <w:t>163.com</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hint="default" w:ascii="仿宋" w:hAnsi="仿宋" w:eastAsia="仿宋" w:cs="仿宋"/>
          <w:sz w:val="32"/>
          <w:szCs w:val="32"/>
          <w:lang w:val="en-US" w:eastAsia="zh-CN"/>
        </w:rPr>
      </w:pPr>
      <w:r>
        <w:rPr>
          <w:rFonts w:hint="eastAsia" w:ascii="仿宋" w:hAnsi="仿宋" w:cs="仿宋"/>
          <w:sz w:val="32"/>
          <w:szCs w:val="32"/>
        </w:rPr>
        <w:t>联系电话：</w:t>
      </w:r>
      <w:r>
        <w:rPr>
          <w:rFonts w:hint="eastAsia" w:ascii="仿宋" w:hAnsi="仿宋" w:cs="仿宋"/>
          <w:sz w:val="32"/>
          <w:szCs w:val="32"/>
          <w:lang w:val="en-US" w:eastAsia="zh-CN"/>
        </w:rPr>
        <w:t>15535531623</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hint="default" w:ascii="仿宋" w:hAnsi="仿宋" w:eastAsia="仿宋" w:cs="仿宋"/>
          <w:sz w:val="32"/>
          <w:szCs w:val="32"/>
          <w:lang w:val="en-US" w:eastAsia="zh-CN"/>
        </w:rPr>
      </w:pPr>
      <w:r>
        <w:rPr>
          <w:rFonts w:hint="eastAsia" w:ascii="仿宋" w:hAnsi="仿宋" w:cs="仿宋"/>
          <w:sz w:val="32"/>
          <w:szCs w:val="32"/>
        </w:rPr>
        <w:t>通讯地址：</w:t>
      </w:r>
      <w:r>
        <w:rPr>
          <w:rFonts w:hint="eastAsia" w:ascii="仿宋" w:hAnsi="仿宋" w:cs="仿宋"/>
          <w:sz w:val="32"/>
          <w:szCs w:val="32"/>
          <w:lang w:eastAsia="zh-CN"/>
        </w:rPr>
        <w:t>襄垣县开元东街</w:t>
      </w:r>
      <w:r>
        <w:rPr>
          <w:rFonts w:hint="eastAsia" w:ascii="仿宋" w:hAnsi="仿宋" w:cs="仿宋"/>
          <w:sz w:val="32"/>
          <w:szCs w:val="32"/>
          <w:lang w:val="en-US" w:eastAsia="zh-CN"/>
        </w:rPr>
        <w:t>49号</w:t>
      </w:r>
    </w:p>
    <w:p>
      <w:pPr>
        <w:keepNext w:val="0"/>
        <w:keepLines w:val="0"/>
        <w:pageBreakBefore w:val="0"/>
        <w:widowControl w:val="0"/>
        <w:kinsoku/>
        <w:wordWrap/>
        <w:overflowPunct/>
        <w:topLinePunct w:val="0"/>
        <w:autoSpaceDE/>
        <w:autoSpaceDN/>
        <w:bidi w:val="0"/>
        <w:adjustRightInd w:val="0"/>
        <w:snapToGrid w:val="0"/>
        <w:spacing w:line="560" w:lineRule="exact"/>
        <w:ind w:firstLine="560"/>
        <w:textAlignment w:val="auto"/>
        <w:rPr>
          <w:rFonts w:ascii="仿宋" w:hAnsi="仿宋" w:cs="仿宋"/>
          <w:sz w:val="32"/>
          <w:szCs w:val="32"/>
        </w:rPr>
      </w:pPr>
      <w:r>
        <w:rPr>
          <w:rFonts w:hint="eastAsia" w:ascii="仿宋" w:hAnsi="仿宋" w:cs="仿宋"/>
          <w:sz w:val="32"/>
          <w:szCs w:val="32"/>
        </w:rPr>
        <w:t>公示时间：2023年8月</w:t>
      </w:r>
      <w:r>
        <w:rPr>
          <w:rFonts w:hint="eastAsia" w:ascii="仿宋" w:hAnsi="仿宋" w:cs="仿宋"/>
          <w:sz w:val="32"/>
          <w:szCs w:val="32"/>
          <w:lang w:val="en-US" w:eastAsia="zh-CN"/>
        </w:rPr>
        <w:t>24</w:t>
      </w:r>
      <w:r>
        <w:rPr>
          <w:rFonts w:hint="eastAsia" w:ascii="仿宋" w:hAnsi="仿宋" w:cs="仿宋"/>
          <w:sz w:val="32"/>
          <w:szCs w:val="32"/>
        </w:rPr>
        <w:t>日至2023年9月</w:t>
      </w:r>
      <w:r>
        <w:rPr>
          <w:rFonts w:hint="eastAsia" w:ascii="仿宋" w:hAnsi="仿宋" w:cs="仿宋"/>
          <w:sz w:val="32"/>
          <w:szCs w:val="32"/>
          <w:lang w:val="en-US" w:eastAsia="zh-CN"/>
        </w:rPr>
        <w:t>24</w:t>
      </w:r>
      <w:r>
        <w:rPr>
          <w:rFonts w:hint="eastAsia" w:ascii="仿宋" w:hAnsi="仿宋" w:cs="仿宋"/>
          <w:sz w:val="32"/>
          <w:szCs w:val="32"/>
        </w:rPr>
        <w:t>日</w:t>
      </w:r>
    </w:p>
    <w:p>
      <w:pPr>
        <w:keepNext w:val="0"/>
        <w:keepLines w:val="0"/>
        <w:pageBreakBefore w:val="0"/>
        <w:widowControl w:val="0"/>
        <w:kinsoku/>
        <w:wordWrap/>
        <w:overflowPunct/>
        <w:topLinePunct w:val="0"/>
        <w:autoSpaceDE/>
        <w:autoSpaceDN/>
        <w:bidi w:val="0"/>
        <w:spacing w:line="560" w:lineRule="exact"/>
        <w:ind w:firstLine="600"/>
        <w:textAlignment w:val="auto"/>
        <w:rPr>
          <w:rFonts w:ascii="Times New Roman" w:hAnsi="Times New Roman" w:cs="Times New Roman"/>
        </w:rPr>
      </w:pPr>
      <w:r>
        <w:rPr>
          <w:rFonts w:hint="eastAsia" w:ascii="Times New Roman" w:hAnsi="Times New Roman" w:cs="Times New Roman"/>
        </w:rPr>
        <w:br w:type="page"/>
      </w:r>
    </w:p>
    <w:p>
      <w:pPr>
        <w:pStyle w:val="6"/>
        <w:numPr>
          <w:ilvl w:val="1"/>
          <w:numId w:val="0"/>
        </w:numPr>
        <w:rPr>
          <w:rFonts w:hint="eastAsia" w:ascii="黑体" w:hAnsi="黑体" w:eastAsia="黑体" w:cs="黑体"/>
          <w:b/>
          <w:bCs/>
          <w:sz w:val="32"/>
          <w:szCs w:val="32"/>
        </w:rPr>
      </w:pPr>
      <w:r>
        <w:rPr>
          <w:rFonts w:hint="eastAsia" w:ascii="黑体" w:hAnsi="黑体" w:eastAsia="黑体" w:cs="黑体"/>
          <w:b/>
          <w:bCs/>
          <w:sz w:val="32"/>
          <w:szCs w:val="32"/>
        </w:rPr>
        <w:t>一、规划总则</w:t>
      </w:r>
    </w:p>
    <w:p>
      <w:pPr>
        <w:pStyle w:val="6"/>
        <w:numPr>
          <w:ilvl w:val="1"/>
          <w:numId w:val="0"/>
        </w:numPr>
        <w:ind w:firstLine="643" w:firstLineChars="200"/>
        <w:rPr>
          <w:rFonts w:hint="eastAsia" w:ascii="楷体" w:hAnsi="楷体" w:eastAsia="楷体" w:cs="楷体"/>
          <w:b/>
          <w:bCs/>
          <w:kern w:val="2"/>
          <w:sz w:val="32"/>
          <w:szCs w:val="32"/>
        </w:rPr>
      </w:pPr>
      <w:bookmarkStart w:id="0" w:name="_Toc32747"/>
      <w:bookmarkStart w:id="1" w:name="_Toc11721"/>
      <w:r>
        <w:rPr>
          <w:rFonts w:hint="eastAsia" w:ascii="楷体" w:hAnsi="楷体" w:eastAsia="楷体" w:cs="楷体"/>
          <w:b/>
          <w:bCs/>
          <w:kern w:val="2"/>
          <w:sz w:val="32"/>
          <w:szCs w:val="32"/>
        </w:rPr>
        <w:t>1.规划地位</w:t>
      </w:r>
      <w:bookmarkEnd w:id="0"/>
      <w:bookmarkEnd w:id="1"/>
    </w:p>
    <w:p>
      <w:pPr>
        <w:pStyle w:val="30"/>
        <w:ind w:firstLine="560"/>
        <w:rPr>
          <w:rFonts w:ascii="仿宋" w:hAnsi="仿宋" w:cs="仿宋"/>
          <w:sz w:val="32"/>
          <w:szCs w:val="32"/>
          <w:lang w:val="en-US"/>
        </w:rPr>
      </w:pPr>
      <w:r>
        <w:rPr>
          <w:rFonts w:hint="eastAsia" w:ascii="仿宋" w:hAnsi="仿宋" w:cs="仿宋"/>
          <w:sz w:val="32"/>
          <w:szCs w:val="32"/>
          <w:lang w:val="en-US"/>
        </w:rPr>
        <w:t>本规划是国土空间规划体系中的</w:t>
      </w:r>
      <w:r>
        <w:rPr>
          <w:rFonts w:hint="eastAsia" w:ascii="仿宋" w:hAnsi="仿宋" w:cs="仿宋"/>
          <w:sz w:val="32"/>
          <w:szCs w:val="32"/>
          <w:lang w:val="en-US" w:eastAsia="zh-CN"/>
        </w:rPr>
        <w:t>重要组成部分</w:t>
      </w:r>
      <w:r>
        <w:rPr>
          <w:rFonts w:hint="eastAsia" w:ascii="仿宋" w:hAnsi="仿宋" w:cs="仿宋"/>
          <w:sz w:val="32"/>
          <w:szCs w:val="32"/>
          <w:lang w:val="en-US"/>
        </w:rPr>
        <w:t>，是指导襄垣县乡村开发、保护、利用、修复，统筹各类要素，促进布局优化的重要依据，是合理安排乡村用地，支撑保障襄垣县乡村振兴的指导性文件，是统筹安排襄垣县村庄近远期重大建设内容的行动指南，是襄垣县各村庄规划编制的上位规划。</w:t>
      </w:r>
    </w:p>
    <w:p>
      <w:pPr>
        <w:pStyle w:val="6"/>
        <w:numPr>
          <w:ilvl w:val="1"/>
          <w:numId w:val="0"/>
        </w:numPr>
        <w:ind w:firstLine="643" w:firstLineChars="200"/>
        <w:rPr>
          <w:rFonts w:hint="eastAsia" w:ascii="楷体" w:hAnsi="楷体" w:eastAsia="楷体" w:cs="楷体"/>
          <w:b/>
          <w:bCs/>
          <w:kern w:val="2"/>
          <w:sz w:val="32"/>
          <w:szCs w:val="32"/>
        </w:rPr>
      </w:pPr>
      <w:bookmarkStart w:id="2" w:name="_Toc22228"/>
      <w:bookmarkStart w:id="3" w:name="_Toc13251"/>
      <w:r>
        <w:rPr>
          <w:rFonts w:hint="eastAsia" w:ascii="楷体" w:hAnsi="楷体" w:eastAsia="楷体" w:cs="楷体"/>
          <w:b/>
          <w:bCs/>
          <w:kern w:val="2"/>
          <w:sz w:val="32"/>
          <w:szCs w:val="32"/>
        </w:rPr>
        <w:t>2.规划范围和期限</w:t>
      </w:r>
      <w:bookmarkEnd w:id="2"/>
      <w:bookmarkEnd w:id="3"/>
    </w:p>
    <w:p>
      <w:pPr>
        <w:pStyle w:val="30"/>
        <w:ind w:firstLine="560"/>
        <w:rPr>
          <w:rFonts w:ascii="仿宋" w:hAnsi="仿宋" w:cs="仿宋"/>
          <w:sz w:val="32"/>
          <w:szCs w:val="32"/>
          <w:lang w:val="en-US"/>
        </w:rPr>
      </w:pPr>
      <w:r>
        <w:rPr>
          <w:rFonts w:hint="eastAsia" w:ascii="仿宋" w:hAnsi="仿宋" w:cs="仿宋"/>
          <w:sz w:val="32"/>
          <w:szCs w:val="32"/>
          <w:lang w:val="en-US"/>
        </w:rPr>
        <w:t>规划范围和期限与《襄垣县国土空间总体规划（2021-2035年）》保持一致，规划范围为襄垣县行政区域内全部国土空间，规划对象为全县229个行政村。规划期限为2021-2035年，其中，近期为2021-2025年，远期为2026-2035年。</w:t>
      </w:r>
    </w:p>
    <w:p>
      <w:pPr>
        <w:pStyle w:val="6"/>
        <w:numPr>
          <w:ilvl w:val="1"/>
          <w:numId w:val="0"/>
        </w:numPr>
        <w:rPr>
          <w:rFonts w:hint="eastAsia" w:ascii="黑体" w:hAnsi="黑体" w:eastAsia="黑体" w:cs="黑体"/>
          <w:b/>
          <w:bCs/>
          <w:sz w:val="32"/>
          <w:szCs w:val="32"/>
        </w:rPr>
      </w:pPr>
      <w:bookmarkStart w:id="4" w:name="_Toc13921"/>
      <w:r>
        <w:rPr>
          <w:rFonts w:hint="eastAsia" w:ascii="黑体" w:hAnsi="黑体" w:eastAsia="黑体" w:cs="黑体"/>
          <w:b/>
          <w:bCs/>
          <w:sz w:val="32"/>
          <w:szCs w:val="32"/>
        </w:rPr>
        <w:t>二、空间战略与格局</w:t>
      </w:r>
      <w:bookmarkEnd w:id="4"/>
      <w:bookmarkStart w:id="16" w:name="_GoBack"/>
      <w:bookmarkEnd w:id="16"/>
    </w:p>
    <w:p>
      <w:pPr>
        <w:pStyle w:val="6"/>
        <w:numPr>
          <w:ilvl w:val="1"/>
          <w:numId w:val="0"/>
        </w:numPr>
        <w:ind w:firstLine="643" w:firstLineChars="200"/>
        <w:rPr>
          <w:rFonts w:hint="eastAsia" w:ascii="楷体" w:hAnsi="楷体" w:eastAsia="楷体" w:cs="楷体"/>
          <w:b/>
          <w:bCs/>
          <w:kern w:val="2"/>
          <w:sz w:val="32"/>
          <w:szCs w:val="32"/>
        </w:rPr>
      </w:pPr>
      <w:r>
        <w:rPr>
          <w:rFonts w:hint="eastAsia" w:ascii="楷体" w:hAnsi="楷体" w:eastAsia="楷体" w:cs="楷体"/>
          <w:b/>
          <w:bCs/>
          <w:kern w:val="2"/>
          <w:sz w:val="32"/>
          <w:szCs w:val="32"/>
        </w:rPr>
        <w:t>1.战略思路</w:t>
      </w:r>
    </w:p>
    <w:p>
      <w:pPr>
        <w:pStyle w:val="30"/>
        <w:ind w:firstLine="560"/>
        <w:rPr>
          <w:rFonts w:ascii="仿宋" w:hAnsi="仿宋" w:cs="仿宋"/>
          <w:sz w:val="32"/>
          <w:szCs w:val="32"/>
          <w:lang w:val="en-US"/>
        </w:rPr>
      </w:pPr>
      <w:r>
        <w:rPr>
          <w:rFonts w:ascii="仿宋" w:hAnsi="仿宋" w:cs="仿宋"/>
          <w:sz w:val="32"/>
          <w:szCs w:val="32"/>
          <w:lang w:val="en-US"/>
        </w:rPr>
        <w:t>认真落实县委县政府对襄垣县的发展要求，深</w:t>
      </w:r>
      <w:r>
        <w:rPr>
          <w:rFonts w:hint="eastAsia" w:ascii="仿宋" w:hAnsi="仿宋" w:cs="仿宋"/>
          <w:sz w:val="32"/>
          <w:szCs w:val="32"/>
          <w:lang w:val="en-US" w:eastAsia="zh-CN"/>
        </w:rPr>
        <w:t>入</w:t>
      </w:r>
      <w:r>
        <w:rPr>
          <w:rFonts w:ascii="仿宋" w:hAnsi="仿宋" w:cs="仿宋"/>
          <w:sz w:val="32"/>
          <w:szCs w:val="32"/>
          <w:lang w:val="en-US"/>
        </w:rPr>
        <w:t>推进襄垣县乡村振兴战略实施，分类推进村庄布局优化</w:t>
      </w:r>
      <w:r>
        <w:rPr>
          <w:rFonts w:hint="eastAsia" w:ascii="仿宋" w:hAnsi="仿宋" w:cs="仿宋"/>
          <w:sz w:val="32"/>
          <w:szCs w:val="32"/>
          <w:lang w:val="en-US"/>
        </w:rPr>
        <w:t>，作为村庄基础设施配置、村庄风貌指引、用地集约利用的基础；优化乡村产业布局，强化乡村振兴的产业支撑；“点-线-面”结合提出村庄景观风貌指引要求，打造晋东南魅力村庄</w:t>
      </w:r>
      <w:r>
        <w:rPr>
          <w:rFonts w:ascii="仿宋" w:hAnsi="仿宋" w:cs="仿宋"/>
          <w:sz w:val="32"/>
          <w:szCs w:val="32"/>
          <w:lang w:val="en-US"/>
        </w:rPr>
        <w:t>；</w:t>
      </w:r>
      <w:r>
        <w:rPr>
          <w:rFonts w:hint="eastAsia" w:ascii="仿宋" w:hAnsi="仿宋" w:cs="仿宋"/>
          <w:sz w:val="32"/>
          <w:szCs w:val="32"/>
          <w:lang w:val="en-US"/>
        </w:rPr>
        <w:t>按需完善设施，统筹城乡一体化设施布局；加强全域土地整治，提升生态功能和服务价值；</w:t>
      </w:r>
      <w:r>
        <w:rPr>
          <w:rFonts w:ascii="仿宋" w:hAnsi="仿宋" w:cs="仿宋"/>
          <w:sz w:val="32"/>
          <w:szCs w:val="32"/>
          <w:lang w:val="en-US"/>
        </w:rPr>
        <w:t>合理安排乡村用地，支撑乡村振兴项目建设。从空间和用地上促进襄垣县乡村高质量发展，保障乡村振兴战略实施。</w:t>
      </w:r>
    </w:p>
    <w:p>
      <w:pPr>
        <w:pStyle w:val="6"/>
        <w:numPr>
          <w:ilvl w:val="1"/>
          <w:numId w:val="0"/>
        </w:numPr>
        <w:ind w:firstLine="643" w:firstLineChars="200"/>
        <w:rPr>
          <w:rFonts w:hint="eastAsia" w:ascii="楷体" w:hAnsi="楷体" w:eastAsia="楷体" w:cs="楷体"/>
          <w:b/>
          <w:bCs/>
          <w:kern w:val="2"/>
          <w:sz w:val="32"/>
          <w:szCs w:val="32"/>
        </w:rPr>
      </w:pPr>
      <w:r>
        <w:rPr>
          <w:rFonts w:hint="eastAsia" w:ascii="楷体" w:hAnsi="楷体" w:eastAsia="楷体" w:cs="楷体"/>
          <w:b/>
          <w:bCs/>
          <w:kern w:val="2"/>
          <w:sz w:val="32"/>
          <w:szCs w:val="32"/>
        </w:rPr>
        <w:t>2.乡村振兴示范引领格局</w:t>
      </w:r>
    </w:p>
    <w:p>
      <w:pPr>
        <w:pStyle w:val="30"/>
        <w:ind w:firstLine="560"/>
        <w:rPr>
          <w:rFonts w:ascii="仿宋" w:hAnsi="仿宋" w:cs="仿宋"/>
          <w:sz w:val="32"/>
          <w:szCs w:val="32"/>
          <w:lang w:val="en-US"/>
        </w:rPr>
      </w:pPr>
      <w:r>
        <w:rPr>
          <w:rFonts w:hint="eastAsia" w:ascii="仿宋" w:hAnsi="仿宋" w:cs="仿宋"/>
          <w:sz w:val="32"/>
          <w:szCs w:val="32"/>
          <w:lang w:val="en-US"/>
        </w:rPr>
        <w:t>构建“三区、三廊、多点”襄垣县乡村振兴格局。</w:t>
      </w:r>
    </w:p>
    <w:p>
      <w:pPr>
        <w:pStyle w:val="30"/>
        <w:ind w:firstLine="560"/>
        <w:rPr>
          <w:rFonts w:ascii="仿宋" w:hAnsi="仿宋" w:cs="仿宋"/>
          <w:sz w:val="32"/>
          <w:szCs w:val="32"/>
          <w:lang w:val="en-US"/>
        </w:rPr>
      </w:pPr>
      <w:r>
        <w:rPr>
          <w:rFonts w:hint="eastAsia" w:ascii="仿宋" w:hAnsi="仿宋" w:cs="仿宋"/>
          <w:sz w:val="32"/>
          <w:szCs w:val="32"/>
          <w:lang w:val="en-US"/>
        </w:rPr>
        <w:t xml:space="preserve">三区，即漳河谷地城乡统筹示范区、低山丘陵特色农业区、东部生态保护区。漳河谷地城乡统筹示范区，促进城乡基础设施一体化布局，推进城郊融合、新型农村社区改造和治理，建成山西省城乡统筹示范区。低山丘陵特色农业区，协同农业空间和生态空间，引导布局零乱、居住分散、闲置低效的村庄向县城、中心集镇集中，控制村庄无序散乱蔓延。东部生态保护区，鼓励山区农民进城，加强山区农村生态建设和环境保护，构建高低错落、人与自然和谐相融的山地村庄。 </w:t>
      </w:r>
    </w:p>
    <w:p>
      <w:pPr>
        <w:pStyle w:val="30"/>
        <w:ind w:firstLine="560"/>
        <w:rPr>
          <w:rFonts w:ascii="仿宋" w:hAnsi="仿宋" w:cs="仿宋"/>
          <w:sz w:val="32"/>
          <w:szCs w:val="32"/>
          <w:lang w:val="en-US"/>
        </w:rPr>
      </w:pPr>
      <w:r>
        <w:rPr>
          <w:rFonts w:hint="eastAsia" w:ascii="仿宋" w:hAnsi="仿宋" w:cs="仿宋"/>
          <w:sz w:val="32"/>
          <w:szCs w:val="32"/>
          <w:lang w:val="en-US"/>
        </w:rPr>
        <w:t>三廊，即环宝峰湖-浊漳河西源、浊漳河南北源、G519三条</w:t>
      </w:r>
      <w:r>
        <w:rPr>
          <w:rFonts w:hint="eastAsia" w:ascii="仿宋" w:hAnsi="仿宋" w:cs="仿宋"/>
          <w:sz w:val="32"/>
          <w:szCs w:val="32"/>
          <w:lang w:val="en-US" w:eastAsia="zh-CN"/>
        </w:rPr>
        <w:t>美丽</w:t>
      </w:r>
      <w:r>
        <w:rPr>
          <w:rFonts w:hint="eastAsia" w:ascii="仿宋" w:hAnsi="仿宋" w:cs="仿宋"/>
          <w:sz w:val="32"/>
          <w:szCs w:val="32"/>
          <w:lang w:val="en-US"/>
        </w:rPr>
        <w:t>乡村示范</w:t>
      </w:r>
      <w:r>
        <w:rPr>
          <w:rFonts w:hint="eastAsia" w:ascii="仿宋" w:hAnsi="仿宋" w:cs="仿宋"/>
          <w:sz w:val="32"/>
          <w:szCs w:val="32"/>
          <w:lang w:val="en-US" w:eastAsia="zh-CN"/>
        </w:rPr>
        <w:t>廊带</w:t>
      </w:r>
      <w:r>
        <w:rPr>
          <w:rFonts w:hint="eastAsia" w:ascii="仿宋" w:hAnsi="仿宋" w:cs="仿宋"/>
          <w:sz w:val="32"/>
          <w:szCs w:val="32"/>
          <w:lang w:val="en-US"/>
        </w:rPr>
        <w:t>。以重要河流廊道和区域道路</w:t>
      </w:r>
      <w:r>
        <w:rPr>
          <w:rFonts w:hint="eastAsia" w:ascii="仿宋" w:hAnsi="仿宋" w:cs="仿宋"/>
          <w:sz w:val="32"/>
          <w:szCs w:val="32"/>
          <w:lang w:val="en-US" w:eastAsia="zh-CN"/>
        </w:rPr>
        <w:t>为</w:t>
      </w:r>
      <w:r>
        <w:rPr>
          <w:rFonts w:hint="eastAsia" w:ascii="仿宋" w:hAnsi="仿宋" w:cs="仿宋"/>
          <w:sz w:val="32"/>
          <w:szCs w:val="32"/>
          <w:lang w:val="en-US"/>
        </w:rPr>
        <w:t>主战场，谋划实施美丽乡村文旅康养、乡村绿道等乡村振兴牵引工程，强化乡村振兴用地支撑。</w:t>
      </w:r>
    </w:p>
    <w:p>
      <w:pPr>
        <w:pStyle w:val="30"/>
        <w:ind w:firstLine="560"/>
        <w:rPr>
          <w:rFonts w:hint="eastAsia" w:ascii="仿宋" w:hAnsi="仿宋" w:cs="仿宋"/>
          <w:sz w:val="32"/>
          <w:szCs w:val="32"/>
          <w:lang w:val="en-US"/>
        </w:rPr>
      </w:pPr>
      <w:r>
        <w:rPr>
          <w:rFonts w:hint="eastAsia" w:ascii="仿宋" w:hAnsi="仿宋" w:cs="仿宋"/>
          <w:sz w:val="32"/>
          <w:szCs w:val="32"/>
          <w:lang w:val="en-US"/>
        </w:rPr>
        <w:t>多点，即自然历史文化特色资源丰富的</w:t>
      </w:r>
      <w:r>
        <w:rPr>
          <w:rFonts w:hint="eastAsia" w:ascii="仿宋" w:hAnsi="仿宋" w:cs="仿宋"/>
          <w:sz w:val="32"/>
          <w:szCs w:val="32"/>
          <w:lang w:val="en-US" w:eastAsia="zh-CN"/>
        </w:rPr>
        <w:t>特色</w:t>
      </w:r>
      <w:r>
        <w:rPr>
          <w:rFonts w:hint="eastAsia" w:ascii="仿宋" w:hAnsi="仿宋" w:cs="仿宋"/>
          <w:sz w:val="32"/>
          <w:szCs w:val="32"/>
          <w:lang w:val="en-US"/>
        </w:rPr>
        <w:t>保护型村庄以及</w:t>
      </w:r>
      <w:r>
        <w:rPr>
          <w:rFonts w:hint="eastAsia" w:ascii="仿宋" w:hAnsi="仿宋" w:cs="仿宋"/>
          <w:sz w:val="32"/>
          <w:szCs w:val="32"/>
          <w:lang w:val="en-US" w:eastAsia="zh-CN"/>
        </w:rPr>
        <w:t>地处乡村振兴示范廊带</w:t>
      </w:r>
      <w:r>
        <w:rPr>
          <w:rFonts w:hint="eastAsia" w:ascii="仿宋" w:hAnsi="仿宋" w:cs="仿宋"/>
          <w:sz w:val="32"/>
          <w:szCs w:val="32"/>
          <w:lang w:val="en-US"/>
        </w:rPr>
        <w:t>的示范引领型村庄，未来打造成为美丽特色村，引领乡村振兴的样板。</w:t>
      </w:r>
    </w:p>
    <w:p>
      <w:pPr>
        <w:adjustRightInd w:val="0"/>
        <w:snapToGrid w:val="0"/>
        <w:spacing w:line="240" w:lineRule="auto"/>
        <w:ind w:firstLine="0" w:firstLineChars="0"/>
        <w:jc w:val="center"/>
        <w:outlineLvl w:val="0"/>
        <w:rPr>
          <w:rFonts w:hint="eastAsia" w:ascii="仿宋" w:hAnsi="仿宋" w:cs="仿宋"/>
          <w:b/>
          <w:sz w:val="32"/>
          <w:szCs w:val="32"/>
        </w:rPr>
      </w:pPr>
      <w:r>
        <w:rPr>
          <w:rFonts w:hint="eastAsia" w:ascii="仿宋" w:hAnsi="仿宋" w:cs="仿宋"/>
          <w:b/>
          <w:sz w:val="32"/>
          <w:szCs w:val="32"/>
        </w:rPr>
        <w:drawing>
          <wp:inline distT="0" distB="0" distL="114300" distR="114300">
            <wp:extent cx="5268595" cy="3361690"/>
            <wp:effectExtent l="9525" t="9525"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8595" cy="3361690"/>
                    </a:xfrm>
                    <a:prstGeom prst="rect">
                      <a:avLst/>
                    </a:prstGeom>
                    <a:noFill/>
                    <a:ln>
                      <a:solidFill>
                        <a:schemeClr val="bg1">
                          <a:lumMod val="65000"/>
                        </a:schemeClr>
                      </a:solidFill>
                    </a:ln>
                  </pic:spPr>
                </pic:pic>
              </a:graphicData>
            </a:graphic>
          </wp:inline>
        </w:drawing>
      </w:r>
    </w:p>
    <w:p>
      <w:pPr>
        <w:adjustRightInd w:val="0"/>
        <w:snapToGrid w:val="0"/>
        <w:spacing w:line="240" w:lineRule="auto"/>
        <w:ind w:firstLine="0" w:firstLineChars="0"/>
        <w:jc w:val="center"/>
        <w:outlineLvl w:val="0"/>
        <w:rPr>
          <w:rFonts w:hint="eastAsia"/>
          <w:sz w:val="32"/>
          <w:szCs w:val="32"/>
          <w:lang w:val="en-US" w:eastAsia="zh-CN"/>
        </w:rPr>
      </w:pPr>
      <w:bookmarkStart w:id="5" w:name="_Toc21661"/>
      <w:r>
        <w:rPr>
          <w:rFonts w:hint="eastAsia" w:ascii="仿宋" w:hAnsi="仿宋" w:cs="仿宋"/>
          <w:b/>
          <w:sz w:val="32"/>
          <w:szCs w:val="32"/>
          <w:lang w:val="en-US" w:eastAsia="zh-CN"/>
        </w:rPr>
        <w:t>乡村振兴格局规划图</w:t>
      </w:r>
    </w:p>
    <w:p>
      <w:pPr>
        <w:pStyle w:val="6"/>
        <w:numPr>
          <w:ilvl w:val="1"/>
          <w:numId w:val="0"/>
        </w:numPr>
        <w:rPr>
          <w:rFonts w:hint="eastAsia" w:ascii="黑体" w:hAnsi="黑体" w:eastAsia="黑体" w:cs="黑体"/>
          <w:b/>
          <w:bCs/>
          <w:sz w:val="32"/>
          <w:szCs w:val="32"/>
        </w:rPr>
      </w:pPr>
      <w:r>
        <w:rPr>
          <w:rFonts w:hint="eastAsia" w:ascii="黑体" w:hAnsi="黑体" w:eastAsia="黑体" w:cs="黑体"/>
          <w:b/>
          <w:bCs/>
          <w:sz w:val="32"/>
          <w:szCs w:val="32"/>
        </w:rPr>
        <w:t>三、村庄分类与布局</w:t>
      </w:r>
      <w:bookmarkEnd w:id="5"/>
    </w:p>
    <w:p>
      <w:pPr>
        <w:pStyle w:val="30"/>
        <w:ind w:firstLine="560"/>
        <w:rPr>
          <w:rFonts w:ascii="仿宋" w:hAnsi="仿宋" w:cs="仿宋"/>
          <w:sz w:val="32"/>
          <w:szCs w:val="32"/>
          <w:lang w:val="en-US"/>
        </w:rPr>
      </w:pPr>
      <w:r>
        <w:rPr>
          <w:rFonts w:hint="eastAsia" w:ascii="仿宋" w:hAnsi="仿宋" w:cs="仿宋"/>
          <w:sz w:val="32"/>
          <w:szCs w:val="32"/>
          <w:lang w:val="en-US"/>
        </w:rPr>
        <w:t>依据山西省人民政府办公厅发布《关于加快推进村庄规划编制工作的通知》（晋政办发电〔2021〕28号）文件要求，将229个行政村划分为集聚提升类、城郊融合类、特色保护类、搬迁撤并类与其他类5种类型，分类引导及要素配置。</w:t>
      </w:r>
    </w:p>
    <w:p>
      <w:pPr>
        <w:pStyle w:val="30"/>
        <w:ind w:firstLine="560"/>
        <w:rPr>
          <w:rFonts w:ascii="仿宋" w:hAnsi="仿宋" w:cs="仿宋"/>
          <w:sz w:val="32"/>
          <w:szCs w:val="32"/>
          <w:lang w:val="en-US"/>
        </w:rPr>
      </w:pPr>
      <w:r>
        <w:rPr>
          <w:rFonts w:hint="eastAsia" w:ascii="仿宋" w:hAnsi="仿宋" w:cs="仿宋"/>
          <w:sz w:val="32"/>
          <w:szCs w:val="32"/>
          <w:lang w:val="en-US"/>
        </w:rPr>
        <w:t>要素配置要求：集聚提升类、特色保护类和城郊融合类等确有发展需求的村庄，可适当增加村庄建设用地规模，村庄内增加的村庄建设用地面积占现状基数的比重原则不超过10%，超过10%的应有充分的理由；搬迁撤并类村庄，未来不得再安排建设用地指标；其他类型的村庄，建设用地规模应适当减少，减少的村庄建设用地面积占现状基数的比重原则不超过10%，确有需要增加的应有充分的理由，且增加的村庄建设用地面积占现状基数的比重原则不超过3%。</w:t>
      </w:r>
    </w:p>
    <w:p>
      <w:pPr>
        <w:adjustRightInd w:val="0"/>
        <w:snapToGrid w:val="0"/>
        <w:spacing w:line="240" w:lineRule="auto"/>
        <w:ind w:firstLine="0" w:firstLineChars="0"/>
        <w:jc w:val="center"/>
        <w:outlineLvl w:val="0"/>
        <w:rPr>
          <w:rFonts w:hint="eastAsia" w:ascii="仿宋" w:hAnsi="仿宋" w:cs="仿宋"/>
          <w:b/>
          <w:sz w:val="32"/>
          <w:szCs w:val="32"/>
        </w:rPr>
      </w:pPr>
      <w:r>
        <w:rPr>
          <w:rFonts w:hint="eastAsia" w:ascii="仿宋" w:hAnsi="仿宋" w:cs="仿宋"/>
          <w:b/>
          <w:sz w:val="32"/>
          <w:szCs w:val="32"/>
        </w:rPr>
        <w:drawing>
          <wp:inline distT="0" distB="0" distL="114300" distR="114300">
            <wp:extent cx="5325110" cy="3342005"/>
            <wp:effectExtent l="9525" t="9525" r="14605" b="16510"/>
            <wp:docPr id="2" name="图片 2" descr="微信图片_2023081108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811083252"/>
                    <pic:cNvPicPr>
                      <a:picLocks noChangeAspect="1"/>
                    </pic:cNvPicPr>
                  </pic:nvPicPr>
                  <pic:blipFill>
                    <a:blip r:embed="rId13"/>
                    <a:srcRect l="10809" t="13059" r="4557" b="11818"/>
                    <a:stretch>
                      <a:fillRect/>
                    </a:stretch>
                  </pic:blipFill>
                  <pic:spPr>
                    <a:xfrm>
                      <a:off x="0" y="0"/>
                      <a:ext cx="5325110" cy="3342005"/>
                    </a:xfrm>
                    <a:prstGeom prst="rect">
                      <a:avLst/>
                    </a:prstGeom>
                    <a:ln>
                      <a:solidFill>
                        <a:schemeClr val="bg1">
                          <a:lumMod val="65000"/>
                        </a:schemeClr>
                      </a:solidFill>
                    </a:ln>
                  </pic:spPr>
                </pic:pic>
              </a:graphicData>
            </a:graphic>
          </wp:inline>
        </w:drawing>
      </w:r>
    </w:p>
    <w:p>
      <w:pPr>
        <w:adjustRightInd w:val="0"/>
        <w:snapToGrid w:val="0"/>
        <w:spacing w:line="240" w:lineRule="auto"/>
        <w:ind w:firstLine="0" w:firstLineChars="0"/>
        <w:jc w:val="center"/>
        <w:outlineLvl w:val="0"/>
        <w:rPr>
          <w:rFonts w:hint="eastAsia" w:ascii="仿宋" w:hAnsi="仿宋" w:cs="仿宋"/>
          <w:b/>
          <w:sz w:val="32"/>
          <w:szCs w:val="32"/>
        </w:rPr>
      </w:pPr>
      <w:r>
        <w:rPr>
          <w:rFonts w:hint="eastAsia" w:ascii="仿宋" w:hAnsi="仿宋" w:cs="仿宋"/>
          <w:b/>
          <w:sz w:val="32"/>
          <w:szCs w:val="32"/>
        </w:rPr>
        <w:t>村庄分类布局规划图</w:t>
      </w:r>
    </w:p>
    <w:p>
      <w:pPr>
        <w:pStyle w:val="6"/>
        <w:numPr>
          <w:ilvl w:val="1"/>
          <w:numId w:val="0"/>
        </w:numPr>
        <w:rPr>
          <w:rFonts w:hint="eastAsia" w:ascii="黑体" w:hAnsi="黑体" w:eastAsia="黑体" w:cs="黑体"/>
          <w:b/>
          <w:bCs/>
          <w:sz w:val="32"/>
          <w:szCs w:val="32"/>
        </w:rPr>
      </w:pPr>
      <w:r>
        <w:rPr>
          <w:rFonts w:hint="eastAsia" w:ascii="黑体" w:hAnsi="黑体" w:eastAsia="黑体" w:cs="黑体"/>
          <w:b/>
          <w:bCs/>
          <w:sz w:val="32"/>
          <w:szCs w:val="32"/>
        </w:rPr>
        <w:t>四、产业布局优化支撑</w:t>
      </w:r>
    </w:p>
    <w:p>
      <w:pPr>
        <w:pStyle w:val="6"/>
        <w:numPr>
          <w:ilvl w:val="1"/>
          <w:numId w:val="0"/>
        </w:numPr>
        <w:ind w:firstLine="643" w:firstLineChars="200"/>
        <w:rPr>
          <w:rFonts w:hint="eastAsia" w:ascii="楷体" w:hAnsi="楷体" w:eastAsia="楷体" w:cs="楷体"/>
          <w:kern w:val="2"/>
          <w:sz w:val="32"/>
          <w:szCs w:val="32"/>
        </w:rPr>
      </w:pPr>
      <w:r>
        <w:rPr>
          <w:rFonts w:hint="eastAsia" w:ascii="楷体" w:hAnsi="楷体" w:eastAsia="楷体" w:cs="楷体"/>
          <w:kern w:val="2"/>
          <w:sz w:val="32"/>
          <w:szCs w:val="32"/>
        </w:rPr>
        <w:t>1.建立“农户+合作社+规模化种植基地”的农业生产模式，构筑“一心、三区、多园”农业产业空间布局。</w:t>
      </w:r>
    </w:p>
    <w:p>
      <w:pPr>
        <w:pStyle w:val="30"/>
        <w:ind w:firstLine="560"/>
        <w:rPr>
          <w:rFonts w:ascii="仿宋" w:hAnsi="仿宋" w:cs="仿宋"/>
          <w:sz w:val="32"/>
          <w:szCs w:val="32"/>
          <w:lang w:val="en-US"/>
        </w:rPr>
      </w:pPr>
      <w:r>
        <w:rPr>
          <w:rFonts w:hint="eastAsia" w:ascii="仿宋" w:hAnsi="仿宋" w:cs="仿宋"/>
          <w:sz w:val="32"/>
          <w:szCs w:val="32"/>
          <w:lang w:val="en-US"/>
        </w:rPr>
        <w:t>“一心”：现代农业综合服务中心</w:t>
      </w:r>
    </w:p>
    <w:p>
      <w:pPr>
        <w:pStyle w:val="30"/>
        <w:ind w:firstLine="560"/>
        <w:rPr>
          <w:rFonts w:ascii="仿宋" w:hAnsi="仿宋" w:cs="仿宋"/>
          <w:sz w:val="32"/>
          <w:szCs w:val="32"/>
          <w:lang w:val="en-US"/>
        </w:rPr>
      </w:pPr>
      <w:r>
        <w:rPr>
          <w:rFonts w:hint="eastAsia" w:ascii="仿宋" w:hAnsi="仿宋" w:cs="仿宋"/>
          <w:sz w:val="32"/>
          <w:szCs w:val="32"/>
          <w:lang w:val="en-US"/>
        </w:rPr>
        <w:t>“三区”：河谷盆地设施农业区、河谷丘陵有机杂粮种植和特色养殖区、山区中药材种植和特色养殖区</w:t>
      </w:r>
    </w:p>
    <w:p>
      <w:pPr>
        <w:pStyle w:val="30"/>
        <w:ind w:firstLine="560"/>
        <w:rPr>
          <w:rFonts w:ascii="仿宋" w:hAnsi="仿宋" w:cs="仿宋"/>
          <w:sz w:val="32"/>
          <w:szCs w:val="32"/>
          <w:lang w:val="en-US"/>
        </w:rPr>
      </w:pPr>
      <w:r>
        <w:rPr>
          <w:rFonts w:hint="eastAsia" w:ascii="仿宋" w:hAnsi="仿宋" w:cs="仿宋"/>
          <w:sz w:val="32"/>
          <w:szCs w:val="32"/>
          <w:lang w:val="en-US"/>
        </w:rPr>
        <w:t>“多园”：十个规模化特色种植示范园区</w:t>
      </w:r>
    </w:p>
    <w:p>
      <w:pPr>
        <w:adjustRightInd w:val="0"/>
        <w:snapToGrid w:val="0"/>
        <w:spacing w:line="240" w:lineRule="auto"/>
        <w:ind w:firstLine="0" w:firstLineChars="0"/>
        <w:jc w:val="center"/>
        <w:outlineLvl w:val="0"/>
        <w:rPr>
          <w:rFonts w:hint="eastAsia" w:ascii="仿宋" w:hAnsi="仿宋" w:cs="仿宋"/>
          <w:b/>
          <w:sz w:val="32"/>
          <w:szCs w:val="32"/>
        </w:rPr>
      </w:pPr>
      <w:r>
        <w:rPr>
          <w:rFonts w:hint="eastAsia" w:ascii="仿宋" w:hAnsi="仿宋" w:cs="仿宋"/>
          <w:b/>
          <w:sz w:val="32"/>
          <w:szCs w:val="32"/>
        </w:rPr>
        <w:drawing>
          <wp:inline distT="0" distB="0" distL="114300" distR="114300">
            <wp:extent cx="5273040" cy="3402330"/>
            <wp:effectExtent l="9525" t="9525" r="2095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3040" cy="3402330"/>
                    </a:xfrm>
                    <a:prstGeom prst="rect">
                      <a:avLst/>
                    </a:prstGeom>
                    <a:ln>
                      <a:solidFill>
                        <a:schemeClr val="bg1">
                          <a:lumMod val="65000"/>
                        </a:schemeClr>
                      </a:solidFill>
                    </a:ln>
                  </pic:spPr>
                </pic:pic>
              </a:graphicData>
            </a:graphic>
          </wp:inline>
        </w:drawing>
      </w:r>
    </w:p>
    <w:p>
      <w:pPr>
        <w:adjustRightInd w:val="0"/>
        <w:snapToGrid w:val="0"/>
        <w:spacing w:line="240" w:lineRule="auto"/>
        <w:ind w:firstLine="0" w:firstLineChars="0"/>
        <w:jc w:val="center"/>
        <w:outlineLvl w:val="0"/>
        <w:rPr>
          <w:rFonts w:hint="eastAsia" w:ascii="仿宋" w:hAnsi="仿宋" w:cs="仿宋"/>
          <w:b/>
          <w:sz w:val="32"/>
          <w:szCs w:val="32"/>
        </w:rPr>
      </w:pPr>
      <w:r>
        <w:rPr>
          <w:rFonts w:hint="eastAsia" w:ascii="仿宋" w:hAnsi="仿宋" w:cs="仿宋"/>
          <w:b/>
          <w:sz w:val="32"/>
          <w:szCs w:val="32"/>
        </w:rPr>
        <w:t>乡村农业产业布局指引图</w:t>
      </w:r>
    </w:p>
    <w:p>
      <w:pPr>
        <w:pStyle w:val="6"/>
        <w:numPr>
          <w:ilvl w:val="1"/>
          <w:numId w:val="0"/>
        </w:numPr>
        <w:ind w:firstLine="643" w:firstLineChars="200"/>
        <w:rPr>
          <w:rFonts w:hint="eastAsia" w:ascii="楷体" w:hAnsi="楷体" w:eastAsia="楷体" w:cs="楷体"/>
          <w:kern w:val="2"/>
          <w:sz w:val="32"/>
          <w:szCs w:val="32"/>
        </w:rPr>
      </w:pPr>
      <w:r>
        <w:rPr>
          <w:rFonts w:hint="eastAsia" w:ascii="楷体" w:hAnsi="楷体" w:eastAsia="楷体" w:cs="楷体"/>
          <w:kern w:val="2"/>
          <w:sz w:val="32"/>
          <w:szCs w:val="32"/>
        </w:rPr>
        <w:t>2.整合生态、农业、文化旅游资源，发展集“文化体验+生态观光+农业休闲观光体验”为一体的乡村旅游业，构建“一心一带四区”、“两环五支”旅游发展格局。</w:t>
      </w:r>
    </w:p>
    <w:p>
      <w:pPr>
        <w:pStyle w:val="30"/>
        <w:ind w:firstLine="560"/>
        <w:rPr>
          <w:rFonts w:ascii="仿宋" w:hAnsi="仿宋" w:cs="仿宋"/>
          <w:sz w:val="32"/>
          <w:szCs w:val="32"/>
          <w:lang w:val="en-US"/>
        </w:rPr>
      </w:pPr>
      <w:r>
        <w:rPr>
          <w:rFonts w:hint="eastAsia" w:ascii="仿宋" w:hAnsi="仿宋" w:cs="仿宋"/>
          <w:sz w:val="32"/>
          <w:szCs w:val="32"/>
          <w:lang w:val="en-US"/>
        </w:rPr>
        <w:t>一心：城市休闲中心。</w:t>
      </w:r>
    </w:p>
    <w:p>
      <w:pPr>
        <w:pStyle w:val="30"/>
        <w:ind w:firstLine="560"/>
        <w:rPr>
          <w:rFonts w:ascii="仿宋" w:hAnsi="仿宋" w:cs="仿宋"/>
          <w:sz w:val="32"/>
          <w:szCs w:val="32"/>
          <w:lang w:val="en-US"/>
        </w:rPr>
      </w:pPr>
      <w:r>
        <w:rPr>
          <w:rFonts w:hint="eastAsia" w:ascii="仿宋" w:hAnsi="仿宋" w:cs="仿宋"/>
          <w:sz w:val="32"/>
          <w:szCs w:val="32"/>
          <w:lang w:val="en-US"/>
        </w:rPr>
        <w:t>一带：浊漳河生态游憩带。</w:t>
      </w:r>
    </w:p>
    <w:p>
      <w:pPr>
        <w:pStyle w:val="30"/>
        <w:ind w:firstLine="560"/>
        <w:rPr>
          <w:rFonts w:ascii="仿宋" w:hAnsi="仿宋" w:cs="仿宋"/>
          <w:sz w:val="32"/>
          <w:szCs w:val="32"/>
          <w:lang w:val="en-US"/>
        </w:rPr>
      </w:pPr>
      <w:r>
        <w:rPr>
          <w:rFonts w:hint="eastAsia" w:ascii="仿宋" w:hAnsi="仿宋" w:cs="仿宋"/>
          <w:sz w:val="32"/>
          <w:szCs w:val="32"/>
          <w:lang w:val="en-US"/>
        </w:rPr>
        <w:t>四区：文化体验区、</w:t>
      </w:r>
      <w:bookmarkStart w:id="6" w:name="_Hlk140047186"/>
      <w:r>
        <w:rPr>
          <w:rFonts w:hint="eastAsia" w:ascii="仿宋" w:hAnsi="仿宋" w:cs="仿宋"/>
          <w:sz w:val="32"/>
          <w:szCs w:val="32"/>
          <w:lang w:val="en-US"/>
        </w:rPr>
        <w:t>文化探寻区</w:t>
      </w:r>
      <w:bookmarkEnd w:id="6"/>
      <w:r>
        <w:rPr>
          <w:rFonts w:hint="eastAsia" w:ascii="仿宋" w:hAnsi="仿宋" w:cs="仿宋"/>
          <w:sz w:val="32"/>
          <w:szCs w:val="32"/>
          <w:lang w:val="en-US"/>
        </w:rPr>
        <w:t>、</w:t>
      </w:r>
      <w:bookmarkStart w:id="7" w:name="_Hlk140047252"/>
      <w:r>
        <w:rPr>
          <w:rFonts w:hint="eastAsia" w:ascii="仿宋" w:hAnsi="仿宋" w:cs="仿宋"/>
          <w:sz w:val="32"/>
          <w:szCs w:val="32"/>
          <w:lang w:val="en-US"/>
        </w:rPr>
        <w:t>乡村度假区</w:t>
      </w:r>
      <w:bookmarkEnd w:id="7"/>
      <w:r>
        <w:rPr>
          <w:rFonts w:hint="eastAsia" w:ascii="仿宋" w:hAnsi="仿宋" w:cs="仿宋"/>
          <w:sz w:val="32"/>
          <w:szCs w:val="32"/>
          <w:lang w:val="en-US"/>
        </w:rPr>
        <w:t>、农旅融合区。</w:t>
      </w:r>
    </w:p>
    <w:p>
      <w:pPr>
        <w:pStyle w:val="30"/>
        <w:ind w:firstLine="560"/>
        <w:rPr>
          <w:rFonts w:ascii="仿宋" w:hAnsi="仿宋" w:cs="仿宋"/>
          <w:sz w:val="32"/>
          <w:szCs w:val="32"/>
          <w:lang w:val="en-US"/>
        </w:rPr>
      </w:pPr>
      <w:r>
        <w:rPr>
          <w:rFonts w:hint="eastAsia" w:ascii="仿宋" w:hAnsi="仿宋" w:cs="仿宋"/>
          <w:sz w:val="32"/>
          <w:szCs w:val="32"/>
          <w:lang w:val="en-US"/>
        </w:rPr>
        <w:t>“两环五支”旅游线：宝峰湖景区内部旅游环线和全县域旅游大环线，襄垣连接周边区域的五条旅游放射线。</w:t>
      </w:r>
    </w:p>
    <w:p>
      <w:pPr>
        <w:pStyle w:val="6"/>
        <w:numPr>
          <w:ilvl w:val="1"/>
          <w:numId w:val="0"/>
        </w:numPr>
        <w:ind w:firstLine="643" w:firstLineChars="200"/>
        <w:rPr>
          <w:rFonts w:hint="eastAsia" w:ascii="楷体" w:hAnsi="楷体" w:eastAsia="楷体" w:cs="楷体"/>
          <w:kern w:val="2"/>
          <w:sz w:val="32"/>
          <w:szCs w:val="32"/>
        </w:rPr>
      </w:pPr>
      <w:r>
        <w:rPr>
          <w:rFonts w:hint="eastAsia" w:ascii="楷体" w:hAnsi="楷体" w:eastAsia="楷体" w:cs="楷体"/>
          <w:kern w:val="2"/>
          <w:sz w:val="32"/>
          <w:szCs w:val="32"/>
          <w:lang w:val="en-US" w:eastAsia="zh-CN"/>
        </w:rPr>
        <w:t>3.</w:t>
      </w:r>
      <w:r>
        <w:rPr>
          <w:rFonts w:hint="eastAsia" w:ascii="楷体" w:hAnsi="楷体" w:eastAsia="楷体" w:cs="楷体"/>
          <w:kern w:val="2"/>
          <w:sz w:val="32"/>
          <w:szCs w:val="32"/>
        </w:rPr>
        <w:t>搭建乡村产业发展平台，以特色小镇、农业产业园、田园综合体等为载体，进一步激发出乡村产业发展更大的动力。</w:t>
      </w:r>
    </w:p>
    <w:p>
      <w:pPr>
        <w:adjustRightInd w:val="0"/>
        <w:snapToGrid w:val="0"/>
        <w:spacing w:line="240" w:lineRule="auto"/>
        <w:ind w:firstLine="0" w:firstLineChars="0"/>
        <w:jc w:val="center"/>
        <w:outlineLvl w:val="0"/>
        <w:rPr>
          <w:rFonts w:hint="eastAsia" w:ascii="仿宋" w:hAnsi="仿宋" w:cs="仿宋"/>
          <w:b/>
          <w:sz w:val="32"/>
          <w:szCs w:val="32"/>
        </w:rPr>
      </w:pPr>
      <w:r>
        <w:rPr>
          <w:rFonts w:hint="eastAsia" w:ascii="仿宋" w:hAnsi="仿宋" w:cs="仿宋"/>
          <w:b/>
          <w:sz w:val="32"/>
          <w:szCs w:val="32"/>
        </w:rPr>
        <w:drawing>
          <wp:inline distT="0" distB="0" distL="114300" distR="114300">
            <wp:extent cx="5274310" cy="3416300"/>
            <wp:effectExtent l="9525" t="9525" r="19685" b="184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5274310" cy="3416300"/>
                    </a:xfrm>
                    <a:prstGeom prst="rect">
                      <a:avLst/>
                    </a:prstGeom>
                    <a:noFill/>
                    <a:ln>
                      <a:solidFill>
                        <a:schemeClr val="bg1">
                          <a:lumMod val="65000"/>
                        </a:schemeClr>
                      </a:solidFill>
                    </a:ln>
                  </pic:spPr>
                </pic:pic>
              </a:graphicData>
            </a:graphic>
          </wp:inline>
        </w:drawing>
      </w:r>
    </w:p>
    <w:p>
      <w:pPr>
        <w:adjustRightInd w:val="0"/>
        <w:snapToGrid w:val="0"/>
        <w:spacing w:line="240" w:lineRule="auto"/>
        <w:ind w:firstLine="0" w:firstLineChars="0"/>
        <w:jc w:val="center"/>
        <w:outlineLvl w:val="0"/>
        <w:rPr>
          <w:rFonts w:hint="eastAsia" w:ascii="仿宋" w:hAnsi="仿宋" w:cs="仿宋"/>
          <w:b/>
          <w:sz w:val="32"/>
          <w:szCs w:val="32"/>
        </w:rPr>
      </w:pPr>
      <w:r>
        <w:rPr>
          <w:rFonts w:hint="eastAsia" w:ascii="仿宋" w:hAnsi="仿宋" w:cs="仿宋"/>
          <w:b/>
          <w:sz w:val="32"/>
          <w:szCs w:val="32"/>
        </w:rPr>
        <w:t>乡村</w:t>
      </w:r>
      <w:r>
        <w:rPr>
          <w:rFonts w:hint="eastAsia" w:ascii="仿宋" w:hAnsi="仿宋" w:cs="仿宋"/>
          <w:b/>
          <w:sz w:val="32"/>
          <w:szCs w:val="32"/>
          <w:lang w:val="en-US" w:eastAsia="zh-CN"/>
        </w:rPr>
        <w:t>文旅</w:t>
      </w:r>
      <w:r>
        <w:rPr>
          <w:rFonts w:hint="eastAsia" w:ascii="仿宋" w:hAnsi="仿宋" w:cs="仿宋"/>
          <w:b/>
          <w:sz w:val="32"/>
          <w:szCs w:val="32"/>
        </w:rPr>
        <w:t>产业布局指引图</w:t>
      </w:r>
    </w:p>
    <w:p>
      <w:pPr>
        <w:pStyle w:val="6"/>
        <w:numPr>
          <w:ilvl w:val="1"/>
          <w:numId w:val="0"/>
        </w:numPr>
        <w:rPr>
          <w:rFonts w:hint="eastAsia" w:ascii="黑体" w:hAnsi="黑体" w:eastAsia="黑体" w:cs="黑体"/>
          <w:b/>
          <w:bCs/>
          <w:sz w:val="32"/>
          <w:szCs w:val="32"/>
        </w:rPr>
      </w:pPr>
      <w:r>
        <w:rPr>
          <w:rFonts w:hint="eastAsia" w:ascii="黑体" w:hAnsi="黑体" w:eastAsia="黑体" w:cs="黑体"/>
          <w:b/>
          <w:bCs/>
          <w:sz w:val="32"/>
          <w:szCs w:val="32"/>
        </w:rPr>
        <w:t>五、乡村风貌空间指引</w:t>
      </w:r>
    </w:p>
    <w:p>
      <w:pPr>
        <w:pStyle w:val="30"/>
        <w:ind w:firstLine="560"/>
        <w:rPr>
          <w:rFonts w:ascii="仿宋" w:hAnsi="仿宋" w:cs="仿宋"/>
          <w:sz w:val="32"/>
          <w:szCs w:val="32"/>
          <w:lang w:val="en-US"/>
        </w:rPr>
      </w:pPr>
      <w:r>
        <w:rPr>
          <w:rFonts w:hint="eastAsia" w:ascii="仿宋" w:hAnsi="仿宋" w:cs="仿宋"/>
          <w:sz w:val="32"/>
          <w:szCs w:val="32"/>
        </w:rPr>
        <w:t>“点—线—面”结合对县域乡村风貌进行控制。</w:t>
      </w:r>
    </w:p>
    <w:p>
      <w:pPr>
        <w:pStyle w:val="30"/>
        <w:ind w:firstLine="560"/>
        <w:rPr>
          <w:rFonts w:ascii="仿宋" w:hAnsi="仿宋" w:cs="仿宋"/>
          <w:sz w:val="32"/>
          <w:szCs w:val="32"/>
          <w:lang w:val="en-US"/>
        </w:rPr>
      </w:pPr>
      <w:r>
        <w:rPr>
          <w:rFonts w:hint="eastAsia" w:ascii="仿宋" w:hAnsi="仿宋" w:cs="仿宋"/>
          <w:sz w:val="32"/>
          <w:szCs w:val="32"/>
          <w:lang w:val="en-US"/>
        </w:rPr>
        <w:t>点：</w:t>
      </w:r>
      <w:r>
        <w:rPr>
          <w:rFonts w:hint="eastAsia" w:ascii="仿宋" w:hAnsi="仿宋" w:cs="仿宋"/>
          <w:sz w:val="32"/>
          <w:szCs w:val="32"/>
        </w:rPr>
        <w:t>对县域内具有传统风貌</w:t>
      </w:r>
      <w:r>
        <w:rPr>
          <w:rFonts w:hint="eastAsia" w:ascii="仿宋" w:hAnsi="仿宋" w:cs="仿宋"/>
          <w:sz w:val="32"/>
          <w:szCs w:val="32"/>
          <w:lang w:val="en-US"/>
        </w:rPr>
        <w:t>或者具有特色景观和文化的村</w:t>
      </w:r>
      <w:r>
        <w:rPr>
          <w:rFonts w:hint="eastAsia" w:ascii="仿宋" w:hAnsi="仿宋" w:cs="仿宋"/>
          <w:sz w:val="32"/>
          <w:szCs w:val="32"/>
        </w:rPr>
        <w:t>进行点状风貌控制，</w:t>
      </w:r>
      <w:r>
        <w:rPr>
          <w:rFonts w:hint="eastAsia" w:ascii="仿宋" w:hAnsi="仿宋" w:cs="仿宋"/>
          <w:sz w:val="32"/>
          <w:szCs w:val="32"/>
          <w:lang w:val="en-US"/>
        </w:rPr>
        <w:t>打造晋东南襄垣特色乡村的示范。重点打造村庄</w:t>
      </w:r>
      <w:r>
        <w:rPr>
          <w:rFonts w:hint="eastAsia" w:ascii="仿宋" w:hAnsi="仿宋" w:cs="仿宋"/>
          <w:sz w:val="32"/>
          <w:szCs w:val="32"/>
        </w:rPr>
        <w:t>：</w:t>
      </w:r>
      <w:r>
        <w:rPr>
          <w:rFonts w:hint="eastAsia" w:ascii="仿宋" w:hAnsi="仿宋" w:cs="仿宋"/>
          <w:sz w:val="32"/>
          <w:szCs w:val="32"/>
          <w:lang w:val="en-US"/>
        </w:rPr>
        <w:t>常隆村、任家岭村、赵家烟村、冯村、关上村、杜村、北田漳村、马喊村、小垴村。</w:t>
      </w:r>
    </w:p>
    <w:p>
      <w:pPr>
        <w:pStyle w:val="30"/>
        <w:ind w:firstLine="560"/>
        <w:rPr>
          <w:rFonts w:ascii="仿宋" w:hAnsi="仿宋" w:cs="仿宋"/>
          <w:sz w:val="32"/>
          <w:szCs w:val="32"/>
        </w:rPr>
      </w:pPr>
      <w:r>
        <w:rPr>
          <w:rFonts w:hint="eastAsia" w:ascii="仿宋" w:hAnsi="仿宋" w:cs="仿宋"/>
          <w:sz w:val="32"/>
          <w:szCs w:val="32"/>
          <w:lang w:val="en-US"/>
        </w:rPr>
        <w:t>线：浊漳河（西源、南源、北源）</w:t>
      </w:r>
      <w:r>
        <w:rPr>
          <w:rFonts w:hint="eastAsia" w:ascii="仿宋" w:hAnsi="仿宋" w:cs="仿宋"/>
          <w:sz w:val="32"/>
          <w:szCs w:val="32"/>
        </w:rPr>
        <w:t>以及国道</w:t>
      </w:r>
      <w:r>
        <w:rPr>
          <w:rFonts w:hint="eastAsia" w:ascii="仿宋" w:hAnsi="仿宋" w:cs="仿宋"/>
          <w:sz w:val="32"/>
          <w:szCs w:val="32"/>
          <w:lang w:val="en-US"/>
        </w:rPr>
        <w:t>G208和G519</w:t>
      </w:r>
      <w:r>
        <w:rPr>
          <w:rFonts w:hint="eastAsia" w:ascii="仿宋" w:hAnsi="仿宋" w:cs="仿宋"/>
          <w:sz w:val="32"/>
          <w:szCs w:val="32"/>
        </w:rPr>
        <w:t>公路沿线两侧村庄根据公路林带建设和河道绿化景观建设进行沿线乡村风貌控制。</w:t>
      </w:r>
    </w:p>
    <w:p>
      <w:pPr>
        <w:pStyle w:val="30"/>
        <w:ind w:firstLine="560"/>
        <w:rPr>
          <w:rFonts w:ascii="仿宋" w:hAnsi="仿宋" w:cs="仿宋"/>
          <w:sz w:val="32"/>
          <w:szCs w:val="32"/>
        </w:rPr>
      </w:pPr>
      <w:r>
        <w:rPr>
          <w:rFonts w:hint="eastAsia" w:ascii="仿宋" w:hAnsi="仿宋" w:cs="仿宋"/>
          <w:sz w:val="32"/>
          <w:szCs w:val="32"/>
          <w:lang w:val="en-US"/>
        </w:rPr>
        <w:t>面：漳河</w:t>
      </w:r>
      <w:r>
        <w:rPr>
          <w:rFonts w:hint="eastAsia" w:ascii="仿宋" w:hAnsi="仿宋" w:cs="仿宋"/>
          <w:sz w:val="32"/>
          <w:szCs w:val="32"/>
        </w:rPr>
        <w:t>河谷</w:t>
      </w:r>
      <w:r>
        <w:rPr>
          <w:rFonts w:hint="eastAsia" w:ascii="仿宋" w:hAnsi="仿宋" w:cs="仿宋"/>
          <w:sz w:val="32"/>
          <w:szCs w:val="32"/>
          <w:lang w:val="en-US"/>
        </w:rPr>
        <w:t>盆地城镇村密集区</w:t>
      </w:r>
      <w:r>
        <w:rPr>
          <w:rFonts w:hint="eastAsia" w:ascii="仿宋" w:hAnsi="仿宋" w:cs="仿宋"/>
          <w:sz w:val="32"/>
          <w:szCs w:val="32"/>
        </w:rPr>
        <w:t>地区，</w:t>
      </w:r>
      <w:r>
        <w:rPr>
          <w:rFonts w:hint="eastAsia" w:ascii="仿宋" w:hAnsi="仿宋" w:cs="仿宋"/>
          <w:sz w:val="32"/>
          <w:szCs w:val="32"/>
          <w:lang w:val="en-US"/>
        </w:rPr>
        <w:t>引导打造</w:t>
      </w:r>
      <w:r>
        <w:rPr>
          <w:rFonts w:hint="eastAsia" w:ascii="仿宋" w:hAnsi="仿宋" w:cs="仿宋"/>
          <w:sz w:val="32"/>
          <w:szCs w:val="32"/>
        </w:rPr>
        <w:t>美丽现代</w:t>
      </w:r>
      <w:r>
        <w:rPr>
          <w:rFonts w:hint="eastAsia" w:ascii="仿宋" w:hAnsi="仿宋" w:cs="仿宋"/>
          <w:sz w:val="32"/>
          <w:szCs w:val="32"/>
          <w:lang w:val="en-US"/>
        </w:rPr>
        <w:t>城乡</w:t>
      </w:r>
      <w:r>
        <w:rPr>
          <w:rFonts w:hint="eastAsia" w:ascii="仿宋" w:hAnsi="仿宋" w:cs="仿宋"/>
          <w:sz w:val="32"/>
          <w:szCs w:val="32"/>
        </w:rPr>
        <w:t>社区风貌</w:t>
      </w:r>
      <w:r>
        <w:rPr>
          <w:rFonts w:hint="eastAsia" w:ascii="仿宋" w:hAnsi="仿宋" w:cs="仿宋"/>
          <w:sz w:val="32"/>
          <w:szCs w:val="32"/>
          <w:lang w:val="en-US"/>
        </w:rPr>
        <w:t>；</w:t>
      </w:r>
      <w:r>
        <w:rPr>
          <w:rFonts w:hint="eastAsia" w:ascii="仿宋" w:hAnsi="仿宋" w:cs="仿宋"/>
          <w:sz w:val="32"/>
          <w:szCs w:val="32"/>
        </w:rPr>
        <w:t>广大的</w:t>
      </w:r>
      <w:r>
        <w:rPr>
          <w:rFonts w:hint="eastAsia" w:ascii="仿宋" w:hAnsi="仿宋" w:cs="仿宋"/>
          <w:sz w:val="32"/>
          <w:szCs w:val="32"/>
          <w:lang w:val="en-US"/>
        </w:rPr>
        <w:t>低山丘陵</w:t>
      </w:r>
      <w:r>
        <w:rPr>
          <w:rFonts w:hint="eastAsia" w:ascii="仿宋" w:hAnsi="仿宋" w:cs="仿宋"/>
          <w:sz w:val="32"/>
          <w:szCs w:val="32"/>
        </w:rPr>
        <w:t>地区</w:t>
      </w:r>
      <w:r>
        <w:rPr>
          <w:rFonts w:hint="eastAsia" w:ascii="仿宋" w:hAnsi="仿宋" w:cs="仿宋"/>
          <w:sz w:val="32"/>
          <w:szCs w:val="32"/>
          <w:lang w:val="en-US"/>
        </w:rPr>
        <w:t>村庄</w:t>
      </w:r>
      <w:r>
        <w:rPr>
          <w:rFonts w:hint="eastAsia" w:ascii="仿宋" w:hAnsi="仿宋" w:cs="仿宋"/>
          <w:sz w:val="32"/>
          <w:szCs w:val="32"/>
        </w:rPr>
        <w:t>，</w:t>
      </w:r>
      <w:r>
        <w:rPr>
          <w:rFonts w:hint="eastAsia" w:ascii="仿宋" w:hAnsi="仿宋" w:cs="仿宋"/>
          <w:sz w:val="32"/>
          <w:szCs w:val="32"/>
          <w:lang w:val="en-US"/>
        </w:rPr>
        <w:t>引导建设</w:t>
      </w:r>
      <w:r>
        <w:rPr>
          <w:rFonts w:hint="eastAsia" w:ascii="仿宋" w:hAnsi="仿宋" w:cs="仿宋"/>
          <w:sz w:val="32"/>
          <w:szCs w:val="32"/>
        </w:rPr>
        <w:t>生态田园美丽新农村；</w:t>
      </w:r>
      <w:r>
        <w:rPr>
          <w:rFonts w:hint="eastAsia" w:ascii="仿宋" w:hAnsi="仿宋" w:cs="仿宋"/>
          <w:sz w:val="32"/>
          <w:szCs w:val="32"/>
          <w:lang w:val="en-US"/>
        </w:rPr>
        <w:t>东部山区村庄</w:t>
      </w:r>
      <w:r>
        <w:rPr>
          <w:rFonts w:hint="eastAsia" w:ascii="仿宋" w:hAnsi="仿宋" w:cs="仿宋"/>
          <w:sz w:val="32"/>
          <w:szCs w:val="32"/>
        </w:rPr>
        <w:t>，</w:t>
      </w:r>
      <w:r>
        <w:rPr>
          <w:rFonts w:hint="eastAsia" w:ascii="仿宋" w:hAnsi="仿宋" w:cs="仿宋"/>
          <w:sz w:val="32"/>
          <w:szCs w:val="32"/>
          <w:lang w:val="en-US"/>
        </w:rPr>
        <w:t>引导打造</w:t>
      </w:r>
      <w:r>
        <w:rPr>
          <w:rFonts w:hint="eastAsia" w:ascii="仿宋" w:hAnsi="仿宋" w:cs="仿宋"/>
          <w:sz w:val="32"/>
          <w:szCs w:val="32"/>
        </w:rPr>
        <w:t>闲散、宜居、依山就势的山林雅居风貌。</w:t>
      </w:r>
    </w:p>
    <w:p>
      <w:pPr>
        <w:pStyle w:val="2"/>
        <w:adjustRightInd w:val="0"/>
        <w:snapToGrid w:val="0"/>
        <w:ind w:firstLine="0" w:firstLineChars="0"/>
        <w:jc w:val="center"/>
        <w:rPr>
          <w:b/>
          <w:bCs/>
          <w:sz w:val="32"/>
          <w:szCs w:val="32"/>
        </w:rPr>
      </w:pPr>
      <w:r>
        <w:rPr>
          <w:rFonts w:hint="eastAsia"/>
          <w:b/>
          <w:bCs/>
          <w:sz w:val="32"/>
          <w:szCs w:val="32"/>
        </w:rPr>
        <w:drawing>
          <wp:inline distT="0" distB="0" distL="114300" distR="114300">
            <wp:extent cx="5268595" cy="3425190"/>
            <wp:effectExtent l="9525" t="9525" r="1016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68595" cy="3425190"/>
                    </a:xfrm>
                    <a:prstGeom prst="rect">
                      <a:avLst/>
                    </a:prstGeom>
                    <a:noFill/>
                    <a:ln>
                      <a:solidFill>
                        <a:schemeClr val="bg1">
                          <a:lumMod val="65000"/>
                        </a:schemeClr>
                      </a:solidFill>
                    </a:ln>
                  </pic:spPr>
                </pic:pic>
              </a:graphicData>
            </a:graphic>
          </wp:inline>
        </w:drawing>
      </w:r>
    </w:p>
    <w:p>
      <w:pPr>
        <w:pStyle w:val="2"/>
        <w:adjustRightInd w:val="0"/>
        <w:snapToGrid w:val="0"/>
        <w:ind w:firstLine="0" w:firstLineChars="0"/>
        <w:jc w:val="center"/>
        <w:rPr>
          <w:b/>
          <w:bCs/>
          <w:sz w:val="32"/>
          <w:szCs w:val="32"/>
        </w:rPr>
      </w:pPr>
      <w:r>
        <w:rPr>
          <w:rFonts w:hint="eastAsia"/>
          <w:b/>
          <w:bCs/>
          <w:sz w:val="32"/>
          <w:szCs w:val="32"/>
        </w:rPr>
        <w:t>乡村风貌规划指引图</w:t>
      </w:r>
    </w:p>
    <w:p>
      <w:pPr>
        <w:pStyle w:val="6"/>
        <w:numPr>
          <w:ilvl w:val="1"/>
          <w:numId w:val="0"/>
        </w:numPr>
        <w:rPr>
          <w:rFonts w:hint="eastAsia" w:ascii="黑体" w:hAnsi="黑体" w:eastAsia="黑体" w:cs="黑体"/>
          <w:b/>
          <w:bCs/>
          <w:sz w:val="32"/>
          <w:szCs w:val="32"/>
        </w:rPr>
      </w:pPr>
      <w:bookmarkStart w:id="8" w:name="_Toc24003"/>
      <w:r>
        <w:rPr>
          <w:rFonts w:hint="eastAsia" w:ascii="黑体" w:hAnsi="黑体" w:eastAsia="黑体" w:cs="黑体"/>
          <w:b/>
          <w:bCs/>
          <w:sz w:val="32"/>
          <w:szCs w:val="32"/>
        </w:rPr>
        <w:t>六、全域土地综合整治</w:t>
      </w:r>
      <w:bookmarkEnd w:id="8"/>
    </w:p>
    <w:p>
      <w:pPr>
        <w:pStyle w:val="6"/>
        <w:numPr>
          <w:ilvl w:val="1"/>
          <w:numId w:val="0"/>
        </w:numPr>
        <w:ind w:firstLine="643" w:firstLineChars="200"/>
        <w:rPr>
          <w:rFonts w:hint="eastAsia" w:ascii="楷体" w:hAnsi="楷体" w:eastAsia="楷体" w:cs="楷体"/>
          <w:b/>
          <w:bCs/>
          <w:kern w:val="2"/>
          <w:sz w:val="32"/>
          <w:szCs w:val="32"/>
        </w:rPr>
      </w:pPr>
      <w:bookmarkStart w:id="9" w:name="_Toc17210"/>
      <w:r>
        <w:rPr>
          <w:rFonts w:hint="eastAsia" w:ascii="楷体" w:hAnsi="楷体" w:eastAsia="楷体" w:cs="楷体"/>
          <w:b/>
          <w:bCs/>
          <w:kern w:val="2"/>
          <w:sz w:val="32"/>
          <w:szCs w:val="32"/>
        </w:rPr>
        <w:t>1.系统推进农用地整理</w:t>
      </w:r>
      <w:bookmarkEnd w:id="9"/>
    </w:p>
    <w:p>
      <w:pPr>
        <w:pStyle w:val="30"/>
        <w:ind w:firstLine="560"/>
        <w:rPr>
          <w:rFonts w:ascii="仿宋" w:hAnsi="仿宋" w:cs="仿宋"/>
          <w:sz w:val="32"/>
          <w:szCs w:val="32"/>
          <w:lang w:val="en-US"/>
        </w:rPr>
      </w:pPr>
      <w:r>
        <w:rPr>
          <w:rFonts w:hint="eastAsia" w:ascii="仿宋" w:hAnsi="仿宋" w:cs="仿宋"/>
          <w:sz w:val="32"/>
          <w:szCs w:val="32"/>
          <w:lang w:val="en-US"/>
        </w:rPr>
        <w:t>以乡镇为单元或者村庄为单元开展田、水、路、林、村整体谋划的全域土地综合整治，重点实施太行山土石山区</w:t>
      </w:r>
      <w:r>
        <w:rPr>
          <w:rFonts w:hint="eastAsia" w:ascii="仿宋" w:hAnsi="仿宋" w:cs="仿宋"/>
          <w:sz w:val="32"/>
          <w:szCs w:val="32"/>
          <w:lang w:val="en-US" w:eastAsia="zh-CN"/>
        </w:rPr>
        <w:t>“</w:t>
      </w:r>
      <w:r>
        <w:rPr>
          <w:rFonts w:hint="eastAsia" w:ascii="仿宋" w:hAnsi="仿宋" w:cs="仿宋"/>
          <w:sz w:val="32"/>
          <w:szCs w:val="32"/>
          <w:lang w:val="en-US"/>
        </w:rPr>
        <w:t>粮、经、草、牧”相结合的土地整治修复工程，因地制宜适度开发后备土地。</w:t>
      </w:r>
    </w:p>
    <w:p>
      <w:pPr>
        <w:pStyle w:val="6"/>
        <w:numPr>
          <w:ilvl w:val="1"/>
          <w:numId w:val="0"/>
        </w:numPr>
        <w:ind w:firstLine="643" w:firstLineChars="200"/>
        <w:rPr>
          <w:rFonts w:hint="eastAsia" w:ascii="楷体" w:hAnsi="楷体" w:eastAsia="楷体" w:cs="楷体"/>
          <w:b/>
          <w:bCs/>
          <w:kern w:val="2"/>
          <w:sz w:val="32"/>
          <w:szCs w:val="32"/>
        </w:rPr>
      </w:pPr>
      <w:bookmarkStart w:id="10" w:name="_Toc19674"/>
      <w:r>
        <w:rPr>
          <w:rFonts w:hint="eastAsia" w:ascii="楷体" w:hAnsi="楷体" w:eastAsia="楷体" w:cs="楷体"/>
          <w:b/>
          <w:bCs/>
          <w:kern w:val="2"/>
          <w:sz w:val="32"/>
          <w:szCs w:val="32"/>
        </w:rPr>
        <w:t>2.加大农村建设用地整治</w:t>
      </w:r>
      <w:bookmarkEnd w:id="10"/>
    </w:p>
    <w:p>
      <w:pPr>
        <w:pStyle w:val="30"/>
        <w:ind w:firstLine="560"/>
        <w:rPr>
          <w:rFonts w:ascii="仿宋" w:hAnsi="仿宋" w:cs="仿宋"/>
          <w:sz w:val="32"/>
          <w:szCs w:val="32"/>
          <w:lang w:val="en-US"/>
        </w:rPr>
      </w:pPr>
      <w:r>
        <w:rPr>
          <w:rFonts w:hint="eastAsia" w:ascii="仿宋" w:hAnsi="仿宋" w:cs="仿宋"/>
          <w:sz w:val="32"/>
          <w:szCs w:val="32"/>
          <w:lang w:val="en-US"/>
        </w:rPr>
        <w:t>以乡镇为基本实施单元，对闲置空心村、生态退化及地质灾害高风险区搬迁型村庄、农村闲置和低效建设用地实施农村建设用地整理。重点实施采煤沉陷区村庄搬迁治理工程、空心村建设用地整治复垦复绿工程、闲置低效用地再开发工程。</w:t>
      </w:r>
    </w:p>
    <w:p>
      <w:pPr>
        <w:pStyle w:val="6"/>
        <w:numPr>
          <w:ilvl w:val="1"/>
          <w:numId w:val="0"/>
        </w:numPr>
        <w:ind w:firstLine="643" w:firstLineChars="200"/>
        <w:rPr>
          <w:rFonts w:hint="eastAsia" w:ascii="楷体" w:hAnsi="楷体" w:eastAsia="楷体" w:cs="楷体"/>
          <w:b/>
          <w:bCs/>
          <w:kern w:val="2"/>
          <w:sz w:val="32"/>
          <w:szCs w:val="32"/>
        </w:rPr>
      </w:pPr>
      <w:bookmarkStart w:id="11" w:name="_Toc30684"/>
      <w:r>
        <w:rPr>
          <w:rFonts w:hint="eastAsia" w:ascii="楷体" w:hAnsi="楷体" w:eastAsia="楷体" w:cs="楷体"/>
          <w:b/>
          <w:bCs/>
          <w:kern w:val="2"/>
          <w:sz w:val="32"/>
          <w:szCs w:val="32"/>
        </w:rPr>
        <w:t>3.乡村生态保护与修复</w:t>
      </w:r>
      <w:bookmarkEnd w:id="11"/>
    </w:p>
    <w:p>
      <w:pPr>
        <w:pStyle w:val="30"/>
        <w:ind w:firstLine="560"/>
        <w:rPr>
          <w:rFonts w:ascii="仿宋" w:hAnsi="仿宋" w:cs="仿宋"/>
          <w:sz w:val="32"/>
          <w:szCs w:val="32"/>
          <w:lang w:val="en-US"/>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仿宋" w:hAnsi="仿宋" w:cs="仿宋"/>
          <w:sz w:val="32"/>
          <w:szCs w:val="32"/>
          <w:lang w:val="en-US"/>
        </w:rPr>
        <w:t>采取河流水域保护、村庄生态建设、矿山生态修复、坡耕地综合治理等措施，促进打造高质量生态环境。近期重点实施三漳湿地公园生态保护工程、沿河沿路生态修复工程、河道治理工程、水土治理工程、矿区治理工程。</w:t>
      </w:r>
    </w:p>
    <w:p>
      <w:pPr>
        <w:pStyle w:val="27"/>
        <w:spacing w:before="0" w:beforeLines="0" w:after="0" w:afterLines="0"/>
        <w:ind w:firstLine="0" w:firstLineChars="0"/>
        <w:outlineLvl w:val="9"/>
        <w:rPr>
          <w:rFonts w:hint="default"/>
          <w:sz w:val="28"/>
          <w:szCs w:val="36"/>
        </w:rPr>
      </w:pPr>
      <w:r>
        <w:rPr>
          <w:sz w:val="28"/>
          <w:szCs w:val="36"/>
        </w:rPr>
        <w:t>附表1：襄垣县村庄分类指引一览表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903"/>
        <w:gridCol w:w="9269"/>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村庄类型</w:t>
            </w:r>
          </w:p>
        </w:tc>
        <w:tc>
          <w:tcPr>
            <w:tcW w:w="671" w:type="pct"/>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定义</w:t>
            </w:r>
          </w:p>
        </w:tc>
        <w:tc>
          <w:tcPr>
            <w:tcW w:w="3267" w:type="pct"/>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规划引导</w:t>
            </w:r>
          </w:p>
        </w:tc>
        <w:tc>
          <w:tcPr>
            <w:tcW w:w="628" w:type="pct"/>
            <w:shd w:val="clear" w:color="auto" w:fill="auto"/>
            <w:noWrap/>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用地指标管控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城郊融合类</w:t>
            </w:r>
          </w:p>
        </w:tc>
        <w:tc>
          <w:tcPr>
            <w:tcW w:w="671"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县城近郊区以及县城所在地的村庄。</w:t>
            </w:r>
          </w:p>
        </w:tc>
        <w:tc>
          <w:tcPr>
            <w:tcW w:w="3267" w:type="pct"/>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城郊融合类村庄”应加强城乡统一规划引导，加快基础设施互联互通，推进产业互融互补，促进公共服务共建共享，逐步强化服务城市发展、承接城市功能外溢、满足城市消费需求能力。利用区位等优势，发展农产品加工和乡村旅游，加快农村一二三产业融合发展。充分发挥资源优势和鲜明特色</w:t>
            </w:r>
            <w:r>
              <w:rPr>
                <w:rFonts w:hint="eastAsia" w:ascii="仿宋_GB2312" w:hAnsi="宋体" w:eastAsia="仿宋_GB2312" w:cs="仿宋_GB2312"/>
                <w:kern w:val="0"/>
                <w:sz w:val="22"/>
                <w:szCs w:val="22"/>
                <w:lang w:eastAsia="zh-CN" w:bidi="ar"/>
              </w:rPr>
              <w:t>，</w:t>
            </w:r>
            <w:r>
              <w:rPr>
                <w:rFonts w:hint="eastAsia" w:ascii="仿宋_GB2312" w:hAnsi="宋体" w:eastAsia="仿宋_GB2312" w:cs="仿宋_GB2312"/>
                <w:kern w:val="0"/>
                <w:sz w:val="22"/>
                <w:szCs w:val="22"/>
                <w:lang w:bidi="ar"/>
              </w:rPr>
              <w:t>加速村落与特色小镇、产业园区融合发展</w:t>
            </w:r>
            <w:r>
              <w:rPr>
                <w:rFonts w:hint="eastAsia" w:ascii="仿宋_GB2312" w:hAnsi="宋体" w:eastAsia="仿宋_GB2312" w:cs="仿宋_GB2312"/>
                <w:kern w:val="0"/>
                <w:sz w:val="22"/>
                <w:szCs w:val="22"/>
                <w:lang w:eastAsia="zh-CN" w:bidi="ar"/>
              </w:rPr>
              <w:t>，</w:t>
            </w:r>
            <w:r>
              <w:rPr>
                <w:rFonts w:hint="eastAsia" w:ascii="仿宋_GB2312" w:hAnsi="宋体" w:eastAsia="仿宋_GB2312" w:cs="仿宋_GB2312"/>
                <w:kern w:val="0"/>
                <w:sz w:val="22"/>
                <w:szCs w:val="22"/>
                <w:lang w:bidi="ar"/>
              </w:rPr>
              <w:t>使其成为新型城镇化的重要纽带。在形态上保留乡村风貌、治理上体现城市水平，强化人口集聚，引导部分靠近城市的村庄逐步纳入城区范围或向新型农村社区转变。</w:t>
            </w:r>
          </w:p>
        </w:tc>
        <w:tc>
          <w:tcPr>
            <w:tcW w:w="628" w:type="pct"/>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该类型村庄允许预留一定规模的弹性发展空间。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noWrap/>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集聚提升类</w:t>
            </w:r>
          </w:p>
        </w:tc>
        <w:tc>
          <w:tcPr>
            <w:tcW w:w="671"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镇驻地村庄、规模较大的中心村以及产业基础较好的村庄。</w:t>
            </w:r>
          </w:p>
        </w:tc>
        <w:tc>
          <w:tcPr>
            <w:tcW w:w="3267" w:type="pct"/>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集聚提升类村庄”应在原有规模基础上有序推进改造提升，配套完善村庄基础设施和公共服务设施，提升集聚发展承载能力；选准、激活做强优势主导产业，形成“一村一品”，发挥产业带动能力；该类型村庄应作为城镇基础设施向乡村延伸、公共服务向乡村覆盖的中心节点，规划配置辐射一定范围乡村地区的、规模适度的管理、便民服务、教育、医疗、文体等公共服务设施，引导建设完善的市政基础设施。</w:t>
            </w:r>
          </w:p>
        </w:tc>
        <w:tc>
          <w:tcPr>
            <w:tcW w:w="628" w:type="pct"/>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该类型村庄允许预留一定规模的弹性发展空间。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noWrap/>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特色保护类</w:t>
            </w:r>
          </w:p>
        </w:tc>
        <w:tc>
          <w:tcPr>
            <w:tcW w:w="671" w:type="pct"/>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历史文化名村、传统村落以及其他特色旅游资源丰富的村庄。</w:t>
            </w:r>
          </w:p>
        </w:tc>
        <w:tc>
          <w:tcPr>
            <w:tcW w:w="3267" w:type="pct"/>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特色保护类村庄”应统筹保护、利用与发展的关系，努力保持村庄的完整性、真实性和延续性。在既有村庄特色基础上，着力做好历史文化、自然景观、建筑风貌等方面的特色挖掘和展示，合理利用村庄特色资源，发展壮大特色产业，保护历史文化遗存和传统风貌，协调村庄和自然山水融合关系，塑造丰富的空间形态特色，并针对性地补充完善相关基础和公共服务设施。</w:t>
            </w:r>
          </w:p>
        </w:tc>
        <w:tc>
          <w:tcPr>
            <w:tcW w:w="628" w:type="pct"/>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除必要的乡村产业发展用地外，应严控建设用地增量。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noWrap/>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搬迁撤并类</w:t>
            </w:r>
          </w:p>
        </w:tc>
        <w:tc>
          <w:tcPr>
            <w:tcW w:w="671"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位于生存条件恶劣、生态环境脆弱、自然灾害频发等地区的村庄，以及人口流失特别严重的村庄。</w:t>
            </w:r>
          </w:p>
        </w:tc>
        <w:tc>
          <w:tcPr>
            <w:tcW w:w="3267"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搬迁撤并类村庄”应严格控制村庄搬迁撤并范围。从严掌握搬迁撤并类村庄规模，不得盲目撤并村庄，开展搬迁撤并前必须尊重农民意愿，严禁违背农民意愿强行撤并村庄；在村庄撤并过程中，要依法保护村集体和农民合法财产权益；在村庄撤并中实施增减挂钩的，要严格履行审批程序，增减挂钩收益要及时、全部返还项目区农村；坚持村庄搬迁撤并与新型城镇化、农业现代化相结合，依托“双评价”及国土空间规划选择适宜建设的区域进行安置，避开活动断裂带和地质灾害隐患点，避免新建孤立的村落式移民社区；搬迁撤并后的村庄原址，因地制宜复垦或还绿，增加乡村生产生态空间。</w:t>
            </w:r>
          </w:p>
        </w:tc>
        <w:tc>
          <w:tcPr>
            <w:tcW w:w="628"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该类型村庄不得再安排建设用地指标。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shd w:val="clear" w:color="auto" w:fill="auto"/>
            <w:noWrap/>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其他类</w:t>
            </w:r>
          </w:p>
        </w:tc>
        <w:tc>
          <w:tcPr>
            <w:tcW w:w="671"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对于看不准或定位不明确的村庄，可列为其他类。</w:t>
            </w:r>
          </w:p>
        </w:tc>
        <w:tc>
          <w:tcPr>
            <w:tcW w:w="3267"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“暂不明确类村庄”应满足村民基本生活需求，保持村庄环境整洁卫生，做好长效管理和维护。</w:t>
            </w:r>
          </w:p>
        </w:tc>
        <w:tc>
          <w:tcPr>
            <w:tcW w:w="628" w:type="pct"/>
            <w:shd w:val="clear" w:color="auto" w:fill="auto"/>
            <w:noWrap/>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该类型村庄原则上控制建设用地增量。</w:t>
            </w:r>
          </w:p>
        </w:tc>
      </w:tr>
    </w:tbl>
    <w:p>
      <w:pPr>
        <w:keepNext/>
        <w:keepLines/>
        <w:adjustRightInd w:val="0"/>
        <w:snapToGrid w:val="0"/>
        <w:spacing w:line="240" w:lineRule="auto"/>
        <w:ind w:firstLine="0" w:firstLineChars="0"/>
        <w:jc w:val="center"/>
        <w:outlineLvl w:val="0"/>
        <w:rPr>
          <w:rFonts w:ascii="Times New Roman" w:hAnsi="Times New Roman" w:eastAsia="黑体" w:cs="Times New Roman"/>
          <w:szCs w:val="32"/>
        </w:rPr>
      </w:pPr>
      <w:bookmarkStart w:id="12" w:name="_Toc10291"/>
      <w:bookmarkStart w:id="13" w:name="_Toc23089"/>
      <w:bookmarkStart w:id="14" w:name="_Toc12292"/>
      <w:bookmarkStart w:id="15" w:name="_Toc141734486"/>
    </w:p>
    <w:p>
      <w:pPr>
        <w:pStyle w:val="27"/>
        <w:spacing w:before="0" w:beforeLines="0" w:after="0" w:afterLines="0"/>
        <w:ind w:firstLine="0" w:firstLineChars="0"/>
        <w:outlineLvl w:val="9"/>
        <w:rPr>
          <w:rFonts w:hint="default"/>
          <w:sz w:val="28"/>
          <w:szCs w:val="36"/>
        </w:rPr>
      </w:pPr>
      <w:r>
        <w:rPr>
          <w:sz w:val="28"/>
          <w:szCs w:val="36"/>
        </w:rPr>
        <w:t>附表</w:t>
      </w:r>
      <w:r>
        <w:rPr>
          <w:rFonts w:hint="eastAsia"/>
          <w:sz w:val="28"/>
          <w:szCs w:val="36"/>
          <w:lang w:val="en-US" w:eastAsia="zh-CN"/>
        </w:rPr>
        <w:t>2</w:t>
      </w:r>
      <w:r>
        <w:rPr>
          <w:sz w:val="28"/>
          <w:szCs w:val="36"/>
        </w:rPr>
        <w:t>：襄垣县分乡镇村庄分类情况</w:t>
      </w:r>
    </w:p>
    <w:bookmarkEnd w:id="12"/>
    <w:bookmarkEnd w:id="13"/>
    <w:bookmarkEnd w:id="14"/>
    <w:bookmarkEnd w:id="15"/>
    <w:tbl>
      <w:tblPr>
        <w:tblStyle w:val="19"/>
        <w:tblW w:w="4996" w:type="pct"/>
        <w:jc w:val="center"/>
        <w:tblLayout w:type="autofit"/>
        <w:tblCellMar>
          <w:top w:w="0" w:type="dxa"/>
          <w:left w:w="108" w:type="dxa"/>
          <w:bottom w:w="0" w:type="dxa"/>
          <w:right w:w="108" w:type="dxa"/>
        </w:tblCellMar>
      </w:tblPr>
      <w:tblGrid>
        <w:gridCol w:w="1513"/>
        <w:gridCol w:w="2730"/>
        <w:gridCol w:w="2361"/>
        <w:gridCol w:w="1301"/>
        <w:gridCol w:w="992"/>
        <w:gridCol w:w="4529"/>
        <w:gridCol w:w="737"/>
      </w:tblGrid>
      <w:tr>
        <w:tblPrEx>
          <w:tblCellMar>
            <w:top w:w="0" w:type="dxa"/>
            <w:left w:w="108" w:type="dxa"/>
            <w:bottom w:w="0" w:type="dxa"/>
            <w:right w:w="108" w:type="dxa"/>
          </w:tblCellMar>
        </w:tblPrEx>
        <w:trPr>
          <w:trHeight w:val="596" w:hRule="atLeast"/>
          <w:tblHeade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名称</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城郊融合</w:t>
            </w:r>
            <w:r>
              <w:rPr>
                <w:rFonts w:hint="eastAsia" w:ascii="仿宋_GB2312" w:hAnsi="宋体" w:eastAsia="仿宋_GB2312" w:cs="仿宋_GB2312"/>
                <w:b/>
                <w:bCs/>
                <w:kern w:val="0"/>
                <w:sz w:val="22"/>
                <w:szCs w:val="22"/>
                <w:lang w:bidi="ar"/>
              </w:rPr>
              <w:t>类</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集聚提升</w:t>
            </w:r>
            <w:r>
              <w:rPr>
                <w:rFonts w:hint="eastAsia" w:ascii="仿宋_GB2312" w:hAnsi="宋体" w:eastAsia="仿宋_GB2312" w:cs="仿宋_GB2312"/>
                <w:b/>
                <w:bCs/>
                <w:kern w:val="0"/>
                <w:sz w:val="22"/>
                <w:szCs w:val="22"/>
                <w:lang w:bidi="ar"/>
              </w:rPr>
              <w:t>类</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搬迁撤并</w:t>
            </w:r>
            <w:r>
              <w:rPr>
                <w:rFonts w:hint="eastAsia" w:ascii="仿宋_GB2312" w:hAnsi="宋体" w:eastAsia="仿宋_GB2312" w:cs="仿宋_GB2312"/>
                <w:b/>
                <w:bCs/>
                <w:kern w:val="0"/>
                <w:sz w:val="22"/>
                <w:szCs w:val="22"/>
                <w:lang w:bidi="ar"/>
              </w:rPr>
              <w:t>类</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特色保护</w:t>
            </w:r>
            <w:r>
              <w:rPr>
                <w:rFonts w:hint="eastAsia" w:ascii="仿宋_GB2312" w:hAnsi="宋体" w:eastAsia="仿宋_GB2312" w:cs="仿宋_GB2312"/>
                <w:b/>
                <w:bCs/>
                <w:kern w:val="0"/>
                <w:sz w:val="22"/>
                <w:szCs w:val="22"/>
                <w:lang w:bidi="ar"/>
              </w:rPr>
              <w:t>类</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其他</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合计数量</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古韩镇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北底村、北关村、北里信村、仓上村、崔家庄村、大郝沟村、东北阳村、东关村、南关村、南里信村、西城庄村、王家庄村、西关村、西河底村、东畛村、西王桥村、小郝沟村、张家庄村</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西垴头村、东垴头村、石灰窑村、南丰沟村、南田漳村、上峪村、桃树村、西川村、西港村、下峪村、大黄庄村、兴庄村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东南上村、侯村</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八里庄村、甘村、阁老凹村、后庄村、阳泽河村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37</w:t>
            </w:r>
          </w:p>
        </w:tc>
      </w:tr>
      <w:tr>
        <w:tblPrEx>
          <w:tblCellMar>
            <w:top w:w="0" w:type="dxa"/>
            <w:left w:w="108" w:type="dxa"/>
            <w:bottom w:w="0" w:type="dxa"/>
            <w:right w:w="108" w:type="dxa"/>
          </w:tblCellMar>
        </w:tblPrEx>
        <w:trPr>
          <w:trHeight w:val="90" w:hRule="atLeast"/>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王桥镇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王桥村</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米坪村、上王村、天仓村、五阳村、东山底村、南沟村、洛江沟村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官道村、郭庄村</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红星村、黄岩村、善政村、西山底村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14</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侯堡镇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东周村、侯堡村、西周村、垴上村、桥上村、苏村、高家岩村、安沟村、常沟村、闫村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西回辕村、东元垴村</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常隆村、任家岭村、邕子村</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东回辕村、段河村、胡家沟村、花垴村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19</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夏店镇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董家岭村、范家岭村、付北村、合漳村、河坡村、霍村、马前头村、南底村、坡底村、桥头村、渠街村、夏店村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西北阳村、太平村、背里村、池岩村、九庄村、马喊村、赵家岭、村付村</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北马喊村、北田漳村、北赵岭村、丛城村、崔家岭村、大平村、冯家庄村、富庄沟村、圪塔头村、韩家沟村、河口村、化岩岭村、冀家岭村、九龙村、刘家庄村、南邯村、平安村、王家沟村、西南坪村、向村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40</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虒亭镇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东坡底村、魇亭村、返头村、建华村、虎口村、司马村、流渠村、小河村、赵村、后湾新村、温泉村、阳沟村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关上村、土落村</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暖泉村、丰岩村、北庄村、南凹村、蔡桥村、赤壁村、大池村、固村、韩家庄村、黄楼北村、老岭村、里闲村、磨盘墒村、送返村、温家庄村、西底村、西洞上村、西南沟村、下庄村、燕家沟村、榆林村、种家岭村、祝家岭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37</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西营镇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西营村、城底村、南漳</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常家坪村、磁窑头村、丰曲村、观岩村、郭家地村、护驾墒村、花果园村、辘轴凹村、南岩村、牛狼河村、兴民村、义街村、南坪村、吴北村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17</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下良镇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东故县村、上良村、西故县村、下良村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苗家庄村</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白杨岭村、曹家坪村、东邯郸村、段堡村、韩庄村、郝村、和家坡村、红土坡村、李庙坡村、梁家庄村、临漳村、南桥烟村、强计村、青南村、水碾村、水碾沟村、西邯郸村、寨沟村、寨上村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24</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王村镇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店上村、高家沟村、史北村、王村、下庙村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北姚村、东坡村、杜村、胡岩村、井峪村、孔家洞村、龙王堂村、南铺村、南姚村、垴上村、史属村、王家沟村、温家垴村、西岭村、夏教村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20</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hint="eastAsia" w:ascii="仿宋_GB2312" w:hAnsi="宋体" w:eastAsia="仿宋_GB2312" w:cs="仿宋_GB2312"/>
                <w:b/>
                <w:bCs/>
                <w:kern w:val="0"/>
                <w:sz w:val="22"/>
                <w:szCs w:val="22"/>
                <w:lang w:bidi="ar"/>
              </w:rPr>
              <w:t>善福</w:t>
            </w:r>
            <w:r>
              <w:rPr>
                <w:rFonts w:ascii="仿宋_GB2312" w:hAnsi="宋体" w:eastAsia="仿宋_GB2312" w:cs="仿宋_GB2312"/>
                <w:b/>
                <w:bCs/>
                <w:kern w:val="0"/>
                <w:sz w:val="22"/>
                <w:szCs w:val="22"/>
                <w:lang w:bidi="ar"/>
              </w:rPr>
              <w:t>镇</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堡底村、贾垴村、善福村、上丰村</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北崔家庄村、桑家河村</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赵家烟村、冯村</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堡后村、卜沟村、东岸底村、东岭村、东宁静村、韩村、苗家岭村、南娥村、七里脚村、石楼村、石峪村、土合村、庄里村</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hint="eastAsia" w:ascii="仿宋_GB2312" w:hAnsi="宋体" w:eastAsia="仿宋_GB2312" w:cs="仿宋_GB2312"/>
                <w:kern w:val="0"/>
                <w:sz w:val="22"/>
                <w:szCs w:val="22"/>
                <w:lang w:bidi="ar"/>
              </w:rPr>
              <w:t>21</w:t>
            </w:r>
          </w:p>
        </w:tc>
      </w:tr>
      <w:tr>
        <w:tblPrEx>
          <w:tblCellMar>
            <w:top w:w="0" w:type="dxa"/>
            <w:left w:w="108" w:type="dxa"/>
            <w:bottom w:w="0" w:type="dxa"/>
            <w:right w:w="108" w:type="dxa"/>
          </w:tblCellMar>
        </w:tblPrEx>
        <w:trPr>
          <w:jc w:val="center"/>
        </w:trPr>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b/>
                <w:bCs/>
                <w:kern w:val="0"/>
                <w:sz w:val="22"/>
                <w:szCs w:val="22"/>
                <w:lang w:bidi="ar"/>
              </w:rPr>
            </w:pPr>
            <w:r>
              <w:rPr>
                <w:rFonts w:ascii="仿宋_GB2312" w:hAnsi="宋体" w:eastAsia="仿宋_GB2312" w:cs="仿宋_GB2312"/>
                <w:b/>
                <w:bCs/>
                <w:kern w:val="0"/>
                <w:sz w:val="22"/>
                <w:szCs w:val="22"/>
                <w:lang w:bidi="ar"/>
              </w:rPr>
              <w:t>全县</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19</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69</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17</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7</w:t>
            </w:r>
          </w:p>
        </w:tc>
        <w:tc>
          <w:tcPr>
            <w:tcW w:w="15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left"/>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117</w:t>
            </w:r>
          </w:p>
        </w:tc>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auto"/>
              <w:ind w:firstLine="0" w:firstLineChars="0"/>
              <w:jc w:val="center"/>
              <w:textAlignment w:val="center"/>
              <w:rPr>
                <w:rFonts w:ascii="仿宋_GB2312" w:hAnsi="宋体" w:eastAsia="仿宋_GB2312" w:cs="仿宋_GB2312"/>
                <w:kern w:val="0"/>
                <w:sz w:val="22"/>
                <w:szCs w:val="22"/>
                <w:lang w:bidi="ar"/>
              </w:rPr>
            </w:pPr>
            <w:r>
              <w:rPr>
                <w:rFonts w:ascii="仿宋_GB2312" w:hAnsi="宋体" w:eastAsia="仿宋_GB2312" w:cs="仿宋_GB2312"/>
                <w:kern w:val="0"/>
                <w:sz w:val="22"/>
                <w:szCs w:val="22"/>
                <w:lang w:bidi="ar"/>
              </w:rPr>
              <w:t>229</w:t>
            </w:r>
          </w:p>
        </w:tc>
      </w:tr>
    </w:tbl>
    <w:p>
      <w:pPr>
        <w:pStyle w:val="30"/>
        <w:ind w:firstLine="560"/>
        <w:rPr>
          <w:rFonts w:ascii="仿宋" w:hAnsi="仿宋" w:cs="仿宋"/>
          <w:sz w:val="28"/>
          <w:szCs w:val="28"/>
          <w:lang w:val="en-US"/>
        </w:rPr>
      </w:pP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ED7684"/>
    <w:multiLevelType w:val="multilevel"/>
    <w:tmpl w:val="5DED7684"/>
    <w:lvl w:ilvl="0" w:tentative="0">
      <w:start w:val="1"/>
      <w:numFmt w:val="chineseCounting"/>
      <w:suff w:val="nothing"/>
      <w:lvlText w:val="第%1章 "/>
      <w:lvlJc w:val="left"/>
      <w:pPr>
        <w:ind w:left="432" w:hanging="432"/>
      </w:pPr>
      <w:rPr>
        <w:rFonts w:hint="eastAsia"/>
      </w:rPr>
    </w:lvl>
    <w:lvl w:ilvl="1" w:tentative="0">
      <w:start w:val="1"/>
      <w:numFmt w:val="decimal"/>
      <w:pStyle w:val="6"/>
      <w:isLgl/>
      <w:lvlText w:val="%1.%2."/>
      <w:lvlJc w:val="left"/>
      <w:pPr>
        <w:ind w:left="575" w:hanging="575"/>
      </w:pPr>
      <w:rPr>
        <w:rFonts w:hint="eastAsia"/>
      </w:rPr>
    </w:lvl>
    <w:lvl w:ilvl="2" w:tentative="0">
      <w:start w:val="1"/>
      <w:numFmt w:val="decimal"/>
      <w:pStyle w:val="7"/>
      <w:isLgl/>
      <w:lvlText w:val="%1.%2.%3."/>
      <w:lvlJc w:val="left"/>
      <w:pPr>
        <w:ind w:left="720" w:hanging="720"/>
      </w:pPr>
      <w:rPr>
        <w:rFonts w:hint="eastAsia"/>
      </w:rPr>
    </w:lvl>
    <w:lvl w:ilvl="3" w:tentative="0">
      <w:start w:val="1"/>
      <w:numFmt w:val="decimal"/>
      <w:pStyle w:val="8"/>
      <w:isLgl/>
      <w:lvlText w:val="%1.%2.%3.%4."/>
      <w:lvlJc w:val="left"/>
      <w:pPr>
        <w:ind w:left="864" w:hanging="864"/>
      </w:pPr>
      <w:rPr>
        <w:rFonts w:hint="eastAsia"/>
      </w:rPr>
    </w:lvl>
    <w:lvl w:ilvl="4" w:tentative="0">
      <w:start w:val="1"/>
      <w:numFmt w:val="decimal"/>
      <w:pStyle w:val="9"/>
      <w:isLgl/>
      <w:lvlText w:val="%1.%2.%3.%4.%5."/>
      <w:lvlJc w:val="left"/>
      <w:pPr>
        <w:ind w:left="1008" w:hanging="1008"/>
      </w:pPr>
      <w:rPr>
        <w:rFonts w:hint="eastAsia"/>
      </w:rPr>
    </w:lvl>
    <w:lvl w:ilvl="5" w:tentative="0">
      <w:start w:val="1"/>
      <w:numFmt w:val="decimal"/>
      <w:pStyle w:val="10"/>
      <w:isLgl/>
      <w:lvlText w:val="%1.%2.%3.%4.%5.%6."/>
      <w:lvlJc w:val="left"/>
      <w:pPr>
        <w:ind w:left="1151" w:hanging="1151"/>
      </w:pPr>
      <w:rPr>
        <w:rFonts w:hint="eastAsia"/>
      </w:rPr>
    </w:lvl>
    <w:lvl w:ilvl="6" w:tentative="0">
      <w:start w:val="1"/>
      <w:numFmt w:val="decimal"/>
      <w:pStyle w:val="11"/>
      <w:isLgl/>
      <w:lvlText w:val="%1.%2.%3.%4.%5.%6.%7."/>
      <w:lvlJc w:val="left"/>
      <w:pPr>
        <w:ind w:left="1296" w:hanging="1296"/>
      </w:pPr>
      <w:rPr>
        <w:rFonts w:hint="eastAsia"/>
      </w:rPr>
    </w:lvl>
    <w:lvl w:ilvl="7" w:tentative="0">
      <w:start w:val="1"/>
      <w:numFmt w:val="decimal"/>
      <w:pStyle w:val="12"/>
      <w:isLgl/>
      <w:lvlText w:val="%1.%2.%3.%4.%5.%6.%7.%8."/>
      <w:lvlJc w:val="left"/>
      <w:pPr>
        <w:ind w:left="1440" w:hanging="1440"/>
      </w:pPr>
      <w:rPr>
        <w:rFonts w:hint="eastAsia"/>
      </w:rPr>
    </w:lvl>
    <w:lvl w:ilvl="8" w:tentative="0">
      <w:start w:val="1"/>
      <w:numFmt w:val="decimal"/>
      <w:pStyle w:val="13"/>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mNjFmNjY0YTJjMzVjZWVkMmFlMTUxMDA0OTA4MTAifQ=="/>
  </w:docVars>
  <w:rsids>
    <w:rsidRoot w:val="00BE0125"/>
    <w:rsid w:val="0009074B"/>
    <w:rsid w:val="006912A3"/>
    <w:rsid w:val="007A506A"/>
    <w:rsid w:val="00BE0125"/>
    <w:rsid w:val="01E274B5"/>
    <w:rsid w:val="022D03F8"/>
    <w:rsid w:val="048958D0"/>
    <w:rsid w:val="062600BA"/>
    <w:rsid w:val="08011BF9"/>
    <w:rsid w:val="08AE70D1"/>
    <w:rsid w:val="1016373D"/>
    <w:rsid w:val="111B7712"/>
    <w:rsid w:val="17D22C62"/>
    <w:rsid w:val="185B5474"/>
    <w:rsid w:val="20CB0133"/>
    <w:rsid w:val="2193371A"/>
    <w:rsid w:val="2DBD6BFC"/>
    <w:rsid w:val="2FD71969"/>
    <w:rsid w:val="30B40633"/>
    <w:rsid w:val="315B1B2A"/>
    <w:rsid w:val="31C75BFC"/>
    <w:rsid w:val="33175440"/>
    <w:rsid w:val="33F001AC"/>
    <w:rsid w:val="363807BF"/>
    <w:rsid w:val="389A01A4"/>
    <w:rsid w:val="3F1449F8"/>
    <w:rsid w:val="3FD61700"/>
    <w:rsid w:val="419B49AF"/>
    <w:rsid w:val="50555284"/>
    <w:rsid w:val="70241EE0"/>
    <w:rsid w:val="702A5444"/>
    <w:rsid w:val="70706B0D"/>
    <w:rsid w:val="729B5D0E"/>
    <w:rsid w:val="745665DF"/>
    <w:rsid w:val="76F15C41"/>
    <w:rsid w:val="787F1E2D"/>
    <w:rsid w:val="78B4652D"/>
    <w:rsid w:val="7B6B4339"/>
    <w:rsid w:val="7D2E5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jc w:val="both"/>
    </w:pPr>
    <w:rPr>
      <w:rFonts w:eastAsia="仿宋" w:asciiTheme="minorHAnsi" w:hAnsiTheme="minorHAnsi" w:cstheme="minorBidi"/>
      <w:kern w:val="2"/>
      <w:sz w:val="30"/>
      <w:szCs w:val="24"/>
      <w:lang w:val="en-US" w:eastAsia="zh-CN" w:bidi="ar-SA"/>
    </w:rPr>
  </w:style>
  <w:style w:type="paragraph" w:styleId="5">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6">
    <w:name w:val="heading 2"/>
    <w:basedOn w:val="1"/>
    <w:next w:val="1"/>
    <w:link w:val="23"/>
    <w:semiHidden/>
    <w:unhideWhenUsed/>
    <w:qFormat/>
    <w:uiPriority w:val="0"/>
    <w:pPr>
      <w:keepNext/>
      <w:keepLines/>
      <w:numPr>
        <w:ilvl w:val="1"/>
        <w:numId w:val="1"/>
      </w:numPr>
      <w:spacing w:before="120" w:after="120"/>
      <w:ind w:firstLineChars="0"/>
      <w:outlineLvl w:val="1"/>
    </w:pPr>
    <w:rPr>
      <w:rFonts w:ascii="楷体_GB2312" w:hAnsi="楷体_GB2312" w:eastAsia="宋体" w:cstheme="majorBidi"/>
      <w:b/>
      <w:bCs/>
      <w:kern w:val="0"/>
      <w:sz w:val="32"/>
      <w:szCs w:val="32"/>
    </w:rPr>
  </w:style>
  <w:style w:type="paragraph" w:styleId="7">
    <w:name w:val="heading 3"/>
    <w:basedOn w:val="1"/>
    <w:next w:val="1"/>
    <w:link w:val="24"/>
    <w:semiHidden/>
    <w:unhideWhenUsed/>
    <w:qFormat/>
    <w:uiPriority w:val="0"/>
    <w:pPr>
      <w:keepNext/>
      <w:keepLines/>
      <w:numPr>
        <w:ilvl w:val="2"/>
        <w:numId w:val="1"/>
      </w:numPr>
      <w:ind w:left="0" w:firstLine="0" w:firstLineChars="0"/>
      <w:outlineLvl w:val="2"/>
    </w:pPr>
    <w:rPr>
      <w:rFonts w:ascii="楷体_GB2312" w:hAnsi="楷体_GB2312"/>
      <w:b/>
      <w:bCs/>
      <w:szCs w:val="32"/>
    </w:rPr>
  </w:style>
  <w:style w:type="paragraph" w:styleId="8">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9">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10">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11">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12">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3">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99"/>
    <w:pPr>
      <w:ind w:left="0" w:leftChars="0" w:firstLine="420"/>
    </w:pPr>
  </w:style>
  <w:style w:type="paragraph" w:styleId="3">
    <w:name w:val="Body Text Indent"/>
    <w:basedOn w:val="1"/>
    <w:qFormat/>
    <w:uiPriority w:val="99"/>
    <w:pPr>
      <w:spacing w:after="120"/>
      <w:ind w:left="200" w:leftChars="200"/>
    </w:pPr>
  </w:style>
  <w:style w:type="paragraph" w:customStyle="1" w:styleId="4">
    <w:name w:val="Default"/>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styleId="14">
    <w:name w:val="annotation text"/>
    <w:basedOn w:val="1"/>
    <w:link w:val="33"/>
    <w:qFormat/>
    <w:uiPriority w:val="0"/>
    <w:pPr>
      <w:jc w:val="left"/>
    </w:pPr>
  </w:style>
  <w:style w:type="paragraph" w:styleId="15">
    <w:name w:val="footer"/>
    <w:basedOn w:val="1"/>
    <w:qFormat/>
    <w:uiPriority w:val="99"/>
    <w:pPr>
      <w:tabs>
        <w:tab w:val="center" w:pos="4153"/>
        <w:tab w:val="right" w:pos="8306"/>
      </w:tabs>
      <w:snapToGrid w:val="0"/>
      <w:jc w:val="left"/>
    </w:pPr>
    <w:rPr>
      <w:sz w:val="18"/>
    </w:rPr>
  </w:style>
  <w:style w:type="paragraph" w:styleId="16">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annotation subject"/>
    <w:basedOn w:val="14"/>
    <w:next w:val="14"/>
    <w:link w:val="34"/>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qFormat/>
    <w:uiPriority w:val="0"/>
    <w:rPr>
      <w:sz w:val="21"/>
      <w:szCs w:val="21"/>
    </w:rPr>
  </w:style>
  <w:style w:type="character" w:customStyle="1" w:styleId="23">
    <w:name w:val="标题 2 字符"/>
    <w:basedOn w:val="21"/>
    <w:link w:val="6"/>
    <w:qFormat/>
    <w:uiPriority w:val="0"/>
    <w:rPr>
      <w:rFonts w:ascii="楷体_GB2312" w:hAnsi="楷体_GB2312" w:eastAsia="宋体" w:cstheme="majorBidi"/>
      <w:b/>
      <w:bCs/>
      <w:kern w:val="0"/>
      <w:sz w:val="32"/>
      <w:szCs w:val="32"/>
    </w:rPr>
  </w:style>
  <w:style w:type="character" w:customStyle="1" w:styleId="24">
    <w:name w:val="标题 3 字符"/>
    <w:basedOn w:val="21"/>
    <w:link w:val="7"/>
    <w:qFormat/>
    <w:uiPriority w:val="99"/>
    <w:rPr>
      <w:rFonts w:ascii="楷体_GB2312" w:hAnsi="楷体_GB2312" w:eastAsia="仿宋"/>
      <w:b/>
      <w:bCs/>
      <w:sz w:val="30"/>
      <w:szCs w:val="32"/>
    </w:rPr>
  </w:style>
  <w:style w:type="paragraph" w:customStyle="1" w:styleId="25">
    <w:name w:val="引文目录1"/>
    <w:basedOn w:val="1"/>
    <w:next w:val="1"/>
    <w:qFormat/>
    <w:uiPriority w:val="0"/>
    <w:pPr>
      <w:ind w:left="420" w:leftChars="200"/>
    </w:pPr>
    <w:rPr>
      <w:szCs w:val="32"/>
    </w:rPr>
  </w:style>
  <w:style w:type="character" w:customStyle="1" w:styleId="26">
    <w:name w:val="段首句 字符"/>
    <w:basedOn w:val="21"/>
    <w:qFormat/>
    <w:uiPriority w:val="0"/>
    <w:rPr>
      <w:rFonts w:eastAsia="楷体"/>
      <w:bCs/>
      <w:kern w:val="2"/>
      <w:sz w:val="32"/>
      <w:szCs w:val="24"/>
    </w:rPr>
  </w:style>
  <w:style w:type="paragraph" w:customStyle="1" w:styleId="27">
    <w:name w:val="表、头"/>
    <w:basedOn w:val="1"/>
    <w:unhideWhenUsed/>
    <w:qFormat/>
    <w:uiPriority w:val="0"/>
    <w:pPr>
      <w:widowControl/>
      <w:spacing w:before="50" w:beforeLines="50" w:after="50" w:afterLines="50"/>
      <w:jc w:val="center"/>
      <w:outlineLvl w:val="2"/>
    </w:pPr>
    <w:rPr>
      <w:rFonts w:hint="eastAsia" w:ascii="宋体" w:hAnsi="宋体"/>
      <w:b/>
      <w:kern w:val="0"/>
      <w:sz w:val="21"/>
    </w:rPr>
  </w:style>
  <w:style w:type="character" w:customStyle="1" w:styleId="28">
    <w:name w:val="表格标题 Char"/>
    <w:link w:val="29"/>
    <w:qFormat/>
    <w:uiPriority w:val="0"/>
    <w:rPr>
      <w:rFonts w:cs="仿宋"/>
      <w:b/>
      <w:sz w:val="24"/>
      <w:szCs w:val="21"/>
    </w:rPr>
  </w:style>
  <w:style w:type="paragraph" w:customStyle="1" w:styleId="29">
    <w:name w:val="表格标题"/>
    <w:basedOn w:val="1"/>
    <w:link w:val="28"/>
    <w:qFormat/>
    <w:uiPriority w:val="0"/>
    <w:pPr>
      <w:adjustRightInd w:val="0"/>
      <w:snapToGrid w:val="0"/>
      <w:spacing w:line="240" w:lineRule="auto"/>
      <w:ind w:firstLine="0" w:firstLineChars="0"/>
      <w:jc w:val="center"/>
    </w:pPr>
    <w:rPr>
      <w:rFonts w:cs="仿宋"/>
      <w:b/>
      <w:sz w:val="24"/>
      <w:szCs w:val="21"/>
    </w:rPr>
  </w:style>
  <w:style w:type="paragraph" w:customStyle="1" w:styleId="30">
    <w:name w:val="正"/>
    <w:basedOn w:val="1"/>
    <w:unhideWhenUsed/>
    <w:qFormat/>
    <w:uiPriority w:val="0"/>
    <w:pPr>
      <w:ind w:firstLine="480"/>
    </w:pPr>
    <w:rPr>
      <w:sz w:val="24"/>
      <w:lang w:val="zh-CN"/>
    </w:rPr>
  </w:style>
  <w:style w:type="paragraph" w:customStyle="1" w:styleId="31">
    <w:name w:val="灵石正文"/>
    <w:basedOn w:val="1"/>
    <w:qFormat/>
    <w:uiPriority w:val="0"/>
    <w:pPr>
      <w:ind w:firstLine="480"/>
    </w:pPr>
    <w:rPr>
      <w:rFonts w:eastAsia="宋体"/>
      <w:sz w:val="24"/>
      <w:lang w:val="zh-CN"/>
    </w:rPr>
  </w:style>
  <w:style w:type="paragraph" w:customStyle="1" w:styleId="32">
    <w:name w:val="表格"/>
    <w:basedOn w:val="1"/>
    <w:qFormat/>
    <w:uiPriority w:val="0"/>
    <w:pPr>
      <w:adjustRightInd w:val="0"/>
      <w:snapToGrid w:val="0"/>
      <w:ind w:firstLine="0" w:firstLineChars="0"/>
      <w:jc w:val="center"/>
    </w:pPr>
    <w:rPr>
      <w:rFonts w:ascii="仿宋" w:hAnsi="仿宋" w:cs="仿宋"/>
      <w:sz w:val="21"/>
      <w:szCs w:val="21"/>
    </w:rPr>
  </w:style>
  <w:style w:type="character" w:customStyle="1" w:styleId="33">
    <w:name w:val="批注文字 字符"/>
    <w:basedOn w:val="21"/>
    <w:link w:val="14"/>
    <w:qFormat/>
    <w:uiPriority w:val="0"/>
    <w:rPr>
      <w:rFonts w:eastAsia="仿宋" w:asciiTheme="minorHAnsi" w:hAnsiTheme="minorHAnsi" w:cstheme="minorBidi"/>
      <w:kern w:val="2"/>
      <w:sz w:val="30"/>
      <w:szCs w:val="24"/>
    </w:rPr>
  </w:style>
  <w:style w:type="character" w:customStyle="1" w:styleId="34">
    <w:name w:val="批注主题 字符"/>
    <w:basedOn w:val="33"/>
    <w:link w:val="18"/>
    <w:qFormat/>
    <w:uiPriority w:val="0"/>
    <w:rPr>
      <w:rFonts w:eastAsia="仿宋" w:asciiTheme="minorHAnsi" w:hAnsiTheme="minorHAnsi" w:cstheme="minorBidi"/>
      <w:b/>
      <w:bCs/>
      <w:kern w:val="2"/>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4852</Words>
  <Characters>4982</Characters>
  <Lines>40</Lines>
  <Paragraphs>11</Paragraphs>
  <TotalTime>19</TotalTime>
  <ScaleCrop>false</ScaleCrop>
  <LinksUpToDate>false</LinksUpToDate>
  <CharactersWithSpaces>4984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2023-08-11T09:04:00Z</dcterms:created>
  <dc:creator>Administrator</dc:creator>
  <cp:lastModifiedBy>企业用户_282967631</cp:lastModifiedBy>
  <cp:lastPrinted>2023-08-24T02:51:00Z</cp:lastPrinted>
  <dcterms:modified xsi:type="dcterms:W3CDTF">2024-08-08T07:57:03Z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080D0DF179CA49DEB91964775B15F573_13</vt:lpwstr>
  </property>
</Properties>
</file>