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4900" w:right="1120"/>
        <w:rPr>
          <w:rStyle w:val="7"/>
          <w:rFonts w:ascii="仿宋" w:hAnsi="仿宋" w:eastAsia="仿宋"/>
          <w:sz w:val="32"/>
          <w:szCs w:val="32"/>
        </w:rPr>
      </w:pPr>
    </w:p>
    <w:p>
      <w:pPr>
        <w:pStyle w:val="17"/>
        <w:ind w:right="1120" w:firstLine="4480" w:firstLineChars="1400"/>
        <w:rPr>
          <w:rStyle w:val="7"/>
          <w:rFonts w:ascii="仿宋" w:hAnsi="仿宋" w:eastAsia="仿宋"/>
          <w:sz w:val="32"/>
          <w:szCs w:val="32"/>
        </w:rPr>
      </w:pPr>
    </w:p>
    <w:p>
      <w:pPr>
        <w:pStyle w:val="17"/>
        <w:ind w:right="1120" w:firstLine="3200" w:firstLineChars="1000"/>
        <w:rPr>
          <w:rStyle w:val="7"/>
          <w:rFonts w:ascii="仿宋" w:hAnsi="仿宋" w:eastAsia="仿宋"/>
          <w:sz w:val="32"/>
          <w:szCs w:val="32"/>
        </w:rPr>
      </w:pPr>
      <w:r>
        <w:rPr>
          <w:rStyle w:val="7"/>
          <w:rFonts w:ascii="仿宋" w:hAnsi="仿宋" w:eastAsia="仿宋"/>
          <w:sz w:val="32"/>
          <w:szCs w:val="32"/>
        </w:rPr>
        <w:t>襄环函〔2019〕</w:t>
      </w:r>
      <w:r>
        <w:rPr>
          <w:rStyle w:val="7"/>
          <w:rFonts w:hint="eastAsia" w:ascii="仿宋" w:hAnsi="仿宋" w:eastAsia="仿宋"/>
          <w:sz w:val="32"/>
          <w:szCs w:val="32"/>
          <w:lang w:val="en-US" w:eastAsia="zh-CN"/>
        </w:rPr>
        <w:t>189</w:t>
      </w:r>
      <w:r>
        <w:rPr>
          <w:rStyle w:val="7"/>
          <w:rFonts w:ascii="仿宋" w:hAnsi="仿宋" w:eastAsia="仿宋"/>
          <w:sz w:val="32"/>
          <w:szCs w:val="32"/>
        </w:rPr>
        <w:t>号</w:t>
      </w:r>
    </w:p>
    <w:p>
      <w:pPr>
        <w:pStyle w:val="17"/>
        <w:jc w:val="left"/>
        <w:rPr>
          <w:rStyle w:val="7"/>
          <w:rFonts w:ascii="仿宋" w:hAnsi="仿宋" w:eastAsia="仿宋"/>
          <w:sz w:val="32"/>
          <w:szCs w:val="32"/>
        </w:rPr>
      </w:pPr>
    </w:p>
    <w:p>
      <w:pPr>
        <w:spacing w:line="560" w:lineRule="exact"/>
        <w:jc w:val="center"/>
        <w:rPr>
          <w:rStyle w:val="7"/>
          <w:rFonts w:ascii="宋体" w:hAnsi="宋体"/>
          <w:b/>
          <w:color w:val="000000"/>
          <w:sz w:val="36"/>
          <w:szCs w:val="36"/>
        </w:rPr>
      </w:pPr>
      <w:r>
        <w:rPr>
          <w:rStyle w:val="7"/>
          <w:rFonts w:ascii="宋体" w:hAnsi="宋体"/>
          <w:b/>
          <w:sz w:val="36"/>
          <w:szCs w:val="36"/>
        </w:rPr>
        <w:t>关于华润新能源投资有限公司</w:t>
      </w:r>
      <w:r>
        <w:rPr>
          <w:rStyle w:val="7"/>
          <w:rFonts w:ascii="宋体" w:hAnsi="宋体"/>
          <w:b/>
          <w:spacing w:val="-8"/>
          <w:sz w:val="36"/>
          <w:szCs w:val="36"/>
        </w:rPr>
        <w:t>华润襄垣风电项目</w:t>
      </w:r>
      <w:r>
        <w:rPr>
          <w:rStyle w:val="7"/>
          <w:rFonts w:ascii="宋体" w:hAnsi="宋体"/>
          <w:b/>
          <w:color w:val="000000"/>
          <w:sz w:val="36"/>
          <w:szCs w:val="36"/>
        </w:rPr>
        <w:t>环境影响报告表的批复</w:t>
      </w:r>
    </w:p>
    <w:p>
      <w:pPr>
        <w:spacing w:line="408" w:lineRule="auto"/>
        <w:jc w:val="left"/>
        <w:rPr>
          <w:rStyle w:val="7"/>
          <w:rFonts w:ascii="宋体" w:hAnsi="宋体"/>
          <w:b/>
          <w:sz w:val="36"/>
          <w:szCs w:val="36"/>
        </w:rPr>
      </w:pPr>
      <w:r>
        <w:rPr>
          <w:rStyle w:val="7"/>
          <w:rFonts w:ascii="宋体" w:hAnsi="宋体"/>
          <w:b/>
          <w:sz w:val="36"/>
          <w:szCs w:val="36"/>
        </w:rPr>
        <w:t xml:space="preserve"> </w:t>
      </w:r>
    </w:p>
    <w:p>
      <w:pPr>
        <w:pStyle w:val="17"/>
        <w:spacing w:line="560" w:lineRule="exact"/>
        <w:jc w:val="left"/>
        <w:rPr>
          <w:rStyle w:val="7"/>
          <w:rFonts w:ascii="仿宋" w:hAnsi="仿宋" w:eastAsia="仿宋" w:cs="仿宋_GB2312"/>
          <w:bCs/>
          <w:sz w:val="32"/>
          <w:szCs w:val="32"/>
        </w:rPr>
      </w:pPr>
      <w:r>
        <w:rPr>
          <w:rStyle w:val="7"/>
          <w:rFonts w:ascii="仿宋" w:hAnsi="仿宋" w:eastAsia="仿宋"/>
          <w:sz w:val="32"/>
          <w:szCs w:val="32"/>
        </w:rPr>
        <w:t>华润新能源投资有限公司</w:t>
      </w:r>
      <w:r>
        <w:rPr>
          <w:rStyle w:val="7"/>
          <w:rFonts w:ascii="仿宋" w:hAnsi="仿宋" w:eastAsia="仿宋" w:cs="仿宋_GB2312"/>
          <w:bCs/>
          <w:sz w:val="32"/>
          <w:szCs w:val="32"/>
        </w:rPr>
        <w:t xml:space="preserve">：    </w:t>
      </w:r>
    </w:p>
    <w:p>
      <w:pPr>
        <w:spacing w:line="560" w:lineRule="exact"/>
        <w:jc w:val="left"/>
        <w:rPr>
          <w:rStyle w:val="7"/>
          <w:rFonts w:ascii="仿宋" w:hAnsi="仿宋" w:eastAsia="仿宋" w:cs="仿宋_GB2312"/>
          <w:bCs/>
          <w:sz w:val="32"/>
          <w:szCs w:val="32"/>
        </w:rPr>
      </w:pPr>
      <w:r>
        <w:rPr>
          <w:rStyle w:val="7"/>
          <w:rFonts w:ascii="仿宋" w:hAnsi="仿宋" w:eastAsia="仿宋" w:cs="仿宋_GB2312"/>
          <w:bCs/>
          <w:sz w:val="32"/>
          <w:szCs w:val="32"/>
        </w:rPr>
        <w:t xml:space="preserve">    你公司报送的《</w:t>
      </w:r>
      <w:r>
        <w:rPr>
          <w:rStyle w:val="7"/>
          <w:rFonts w:ascii="仿宋" w:hAnsi="仿宋" w:eastAsia="仿宋"/>
          <w:sz w:val="32"/>
          <w:szCs w:val="32"/>
        </w:rPr>
        <w:t>华润新能源投资有限公司</w:t>
      </w:r>
      <w:r>
        <w:rPr>
          <w:rStyle w:val="7"/>
          <w:rFonts w:ascii="仿宋" w:hAnsi="仿宋" w:eastAsia="仿宋"/>
          <w:spacing w:val="-8"/>
          <w:sz w:val="32"/>
          <w:szCs w:val="32"/>
        </w:rPr>
        <w:t>华润襄垣风电项目</w:t>
      </w:r>
      <w:r>
        <w:rPr>
          <w:rStyle w:val="7"/>
          <w:rFonts w:ascii="仿宋" w:hAnsi="仿宋" w:eastAsia="仿宋" w:cs="仿宋_GB2312"/>
          <w:bCs/>
          <w:color w:val="000000"/>
          <w:sz w:val="32"/>
          <w:szCs w:val="32"/>
        </w:rPr>
        <w:t>环境影响报告表</w:t>
      </w:r>
      <w:r>
        <w:rPr>
          <w:rStyle w:val="7"/>
          <w:rFonts w:ascii="仿宋" w:hAnsi="仿宋" w:eastAsia="仿宋" w:cs="仿宋_GB2312"/>
          <w:bCs/>
          <w:sz w:val="32"/>
          <w:szCs w:val="32"/>
        </w:rPr>
        <w:t>》（以下简称《报告表》）报批申请及相关资料收悉。根据建设项目环境保护管理的有关规定，经研究，现对《报告表》批复如下：</w:t>
      </w:r>
    </w:p>
    <w:p>
      <w:pPr>
        <w:pStyle w:val="19"/>
        <w:numPr>
          <w:ilvl w:val="0"/>
          <w:numId w:val="1"/>
        </w:numPr>
        <w:spacing w:line="560" w:lineRule="exact"/>
        <w:ind w:firstLine="664" w:firstLineChars="200"/>
        <w:rPr>
          <w:rStyle w:val="7"/>
          <w:rFonts w:ascii="仿宋" w:hAnsi="仿宋" w:eastAsia="仿宋"/>
          <w:sz w:val="32"/>
          <w:szCs w:val="32"/>
        </w:rPr>
      </w:pPr>
      <w:r>
        <w:rPr>
          <w:rStyle w:val="7"/>
          <w:rFonts w:ascii="仿宋" w:hAnsi="仿宋" w:eastAsia="仿宋" w:cs="仿宋_GB2312"/>
          <w:bCs/>
          <w:sz w:val="32"/>
          <w:szCs w:val="32"/>
        </w:rPr>
        <w:t>该</w:t>
      </w:r>
      <w:r>
        <w:rPr>
          <w:rStyle w:val="7"/>
          <w:rFonts w:ascii="仿宋" w:hAnsi="仿宋" w:eastAsia="仿宋" w:cs="仿宋_GB2312"/>
          <w:bCs/>
          <w:color w:val="000000"/>
          <w:sz w:val="32"/>
          <w:szCs w:val="32"/>
        </w:rPr>
        <w:t>项目（项目代码：2018-140423-44-02-029704）</w:t>
      </w:r>
      <w:r>
        <w:rPr>
          <w:rStyle w:val="7"/>
          <w:rFonts w:ascii="仿宋" w:hAnsi="仿宋" w:eastAsia="仿宋" w:cs="仿宋_GB2312"/>
          <w:bCs/>
          <w:sz w:val="32"/>
          <w:szCs w:val="32"/>
        </w:rPr>
        <w:t>位于</w:t>
      </w:r>
      <w:r>
        <w:rPr>
          <w:rStyle w:val="7"/>
          <w:rFonts w:ascii="仿宋" w:hAnsi="仿宋" w:eastAsia="仿宋"/>
          <w:sz w:val="32"/>
          <w:szCs w:val="32"/>
        </w:rPr>
        <w:t>襄垣县王桥镇、古韩镇、北底乡境内，拟</w:t>
      </w:r>
      <w:r>
        <w:rPr>
          <w:rFonts w:hint="eastAsia" w:ascii="仿宋" w:hAnsi="仿宋" w:eastAsia="仿宋" w:cs="仿宋_GB2312"/>
          <w:color w:val="000000"/>
          <w:sz w:val="32"/>
          <w:szCs w:val="32"/>
        </w:rPr>
        <w:t>安装</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 xml:space="preserve">台单机容量 </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MW</w:t>
      </w:r>
      <w:r>
        <w:rPr>
          <w:rFonts w:hint="eastAsia" w:ascii="仿宋" w:hAnsi="仿宋" w:eastAsia="仿宋" w:cs="仿宋_GB2312"/>
          <w:sz w:val="32"/>
          <w:szCs w:val="32"/>
          <w:lang w:eastAsia="zh-CN"/>
        </w:rPr>
        <w:t>发</w:t>
      </w:r>
      <w:r>
        <w:rPr>
          <w:rFonts w:hint="eastAsia" w:ascii="仿宋" w:hAnsi="仿宋" w:eastAsia="仿宋" w:cs="仿宋_GB2312"/>
          <w:color w:val="000000"/>
          <w:sz w:val="32"/>
          <w:szCs w:val="32"/>
        </w:rPr>
        <w:t>电机组</w:t>
      </w:r>
      <w:r>
        <w:rPr>
          <w:rFonts w:hint="eastAsia" w:ascii="仿宋" w:hAnsi="仿宋" w:eastAsia="仿宋" w:cs="仿宋_GB2312"/>
          <w:color w:val="000000"/>
          <w:sz w:val="32"/>
          <w:szCs w:val="32"/>
          <w:lang w:eastAsia="zh-CN"/>
        </w:rPr>
        <w:t>，</w:t>
      </w:r>
      <w:bookmarkStart w:id="0" w:name="_GoBack"/>
      <w:bookmarkEnd w:id="0"/>
      <w:r>
        <w:rPr>
          <w:rStyle w:val="7"/>
          <w:rFonts w:ascii="仿宋" w:hAnsi="仿宋" w:eastAsia="仿宋"/>
          <w:color w:val="000000"/>
          <w:sz w:val="32"/>
          <w:szCs w:val="32"/>
        </w:rPr>
        <w:t>建设</w:t>
      </w:r>
      <w:r>
        <w:rPr>
          <w:rStyle w:val="7"/>
          <w:rFonts w:ascii="仿宋" w:hAnsi="仿宋" w:eastAsia="仿宋"/>
          <w:sz w:val="32"/>
          <w:szCs w:val="32"/>
        </w:rPr>
        <w:t>50MW</w:t>
      </w:r>
      <w:r>
        <w:rPr>
          <w:rStyle w:val="7"/>
          <w:rFonts w:ascii="仿宋" w:hAnsi="仿宋" w:eastAsia="仿宋"/>
          <w:color w:val="000000"/>
          <w:sz w:val="32"/>
          <w:szCs w:val="32"/>
        </w:rPr>
        <w:t>风电场工程</w:t>
      </w:r>
      <w:r>
        <w:rPr>
          <w:rStyle w:val="7"/>
          <w:rFonts w:hint="eastAsia" w:ascii="仿宋" w:hAnsi="仿宋" w:eastAsia="仿宋"/>
          <w:color w:val="000000"/>
          <w:sz w:val="32"/>
          <w:szCs w:val="32"/>
          <w:lang w:eastAsia="zh-CN"/>
        </w:rPr>
        <w:t>，</w:t>
      </w:r>
      <w:r>
        <w:rPr>
          <w:rFonts w:hint="eastAsia" w:ascii="仿宋" w:hAnsi="仿宋" w:eastAsia="仿宋" w:cs="仿宋_GB2312"/>
          <w:color w:val="000000"/>
          <w:sz w:val="32"/>
          <w:szCs w:val="32"/>
        </w:rPr>
        <w:t>占地面积</w:t>
      </w:r>
      <w:r>
        <w:rPr>
          <w:rFonts w:hint="eastAsia" w:ascii="仿宋" w:hAnsi="仿宋" w:eastAsia="仿宋" w:cs="仿宋_GB2312"/>
          <w:color w:val="000000"/>
          <w:sz w:val="32"/>
          <w:szCs w:val="32"/>
          <w:lang w:val="en-US" w:eastAsia="zh-CN"/>
        </w:rPr>
        <w:t>188040</w:t>
      </w:r>
      <w:r>
        <w:rPr>
          <w:rFonts w:hint="eastAsia" w:ascii="仿宋" w:hAnsi="仿宋" w:eastAsia="仿宋" w:cs="仿宋_GB2312"/>
          <w:color w:val="000000"/>
          <w:sz w:val="32"/>
          <w:szCs w:val="32"/>
        </w:rPr>
        <w:t>m</w:t>
      </w:r>
      <w:r>
        <w:rPr>
          <w:rFonts w:hint="eastAsia" w:ascii="仿宋" w:hAnsi="仿宋" w:eastAsia="仿宋" w:cs="仿宋_GB2312"/>
          <w:color w:val="000000"/>
          <w:sz w:val="32"/>
          <w:szCs w:val="32"/>
          <w:vertAlign w:val="superscript"/>
        </w:rPr>
        <w:t>2</w:t>
      </w:r>
      <w:r>
        <w:rPr>
          <w:rStyle w:val="7"/>
          <w:rFonts w:ascii="仿宋" w:hAnsi="仿宋" w:eastAsia="仿宋"/>
          <w:color w:val="000000"/>
          <w:sz w:val="32"/>
          <w:szCs w:val="32"/>
        </w:rPr>
        <w:t>。</w:t>
      </w:r>
      <w:r>
        <w:rPr>
          <w:rStyle w:val="7"/>
          <w:rFonts w:ascii="仿宋" w:hAnsi="仿宋" w:eastAsia="仿宋"/>
          <w:sz w:val="32"/>
          <w:szCs w:val="32"/>
        </w:rPr>
        <w:t>主要建设内容包括</w:t>
      </w:r>
      <w:r>
        <w:rPr>
          <w:rFonts w:hint="eastAsia" w:ascii="仿宋" w:hAnsi="仿宋" w:eastAsia="仿宋" w:cs="仿宋_GB2312"/>
          <w:sz w:val="32"/>
          <w:szCs w:val="32"/>
        </w:rPr>
        <w:t>主体工程（风</w:t>
      </w:r>
      <w:r>
        <w:rPr>
          <w:rFonts w:hint="eastAsia" w:ascii="仿宋" w:hAnsi="仿宋" w:eastAsia="仿宋" w:cs="仿宋_GB2312"/>
          <w:sz w:val="32"/>
          <w:szCs w:val="32"/>
          <w:lang w:eastAsia="zh-CN"/>
        </w:rPr>
        <w:t>力发</w:t>
      </w:r>
      <w:r>
        <w:rPr>
          <w:rFonts w:hint="eastAsia" w:ascii="仿宋" w:hAnsi="仿宋" w:eastAsia="仿宋" w:cs="仿宋_GB2312"/>
          <w:sz w:val="32"/>
          <w:szCs w:val="32"/>
        </w:rPr>
        <w:t>电机</w:t>
      </w:r>
      <w:r>
        <w:rPr>
          <w:rFonts w:hint="eastAsia" w:ascii="仿宋" w:hAnsi="仿宋" w:eastAsia="仿宋" w:cs="仿宋_GB2312"/>
          <w:sz w:val="32"/>
          <w:szCs w:val="32"/>
          <w:lang w:eastAsia="zh-CN"/>
        </w:rPr>
        <w:t>及箱变</w:t>
      </w:r>
      <w:r>
        <w:rPr>
          <w:rFonts w:hint="eastAsia" w:ascii="仿宋" w:hAnsi="仿宋" w:eastAsia="仿宋" w:cs="仿宋_GB2312"/>
          <w:sz w:val="32"/>
          <w:szCs w:val="32"/>
        </w:rPr>
        <w:t>、</w:t>
      </w:r>
      <w:r>
        <w:rPr>
          <w:rFonts w:hint="eastAsia" w:ascii="仿宋" w:hAnsi="仿宋" w:eastAsia="仿宋" w:cs="仿宋_GB2312"/>
          <w:sz w:val="32"/>
          <w:szCs w:val="32"/>
          <w:lang w:eastAsia="zh-CN"/>
        </w:rPr>
        <w:t>场内集电线路、</w:t>
      </w:r>
      <w:r>
        <w:rPr>
          <w:rStyle w:val="7"/>
          <w:rFonts w:hint="eastAsia" w:ascii="仿宋" w:hAnsi="仿宋" w:eastAsia="仿宋"/>
          <w:color w:val="000000"/>
          <w:sz w:val="32"/>
          <w:szCs w:val="32"/>
          <w:lang w:eastAsia="zh-CN"/>
        </w:rPr>
        <w:t>升压站）辅助、</w:t>
      </w:r>
      <w:r>
        <w:rPr>
          <w:rFonts w:hint="eastAsia" w:ascii="仿宋" w:hAnsi="仿宋" w:eastAsia="仿宋" w:cs="仿宋_GB2312"/>
          <w:sz w:val="32"/>
          <w:szCs w:val="32"/>
        </w:rPr>
        <w:t>公用、配套及环保工程</w:t>
      </w:r>
      <w:r>
        <w:rPr>
          <w:rStyle w:val="7"/>
          <w:rFonts w:ascii="仿宋" w:hAnsi="仿宋" w:eastAsia="仿宋"/>
          <w:sz w:val="32"/>
          <w:szCs w:val="32"/>
        </w:rPr>
        <w:t>。总投资37308.96万元，其中环保投资1573.79万元。在全面落实《报告表》提出的生态保护</w:t>
      </w:r>
      <w:r>
        <w:rPr>
          <w:rStyle w:val="7"/>
          <w:rFonts w:hint="eastAsia" w:ascii="仿宋" w:hAnsi="仿宋" w:eastAsia="仿宋"/>
          <w:sz w:val="32"/>
          <w:szCs w:val="32"/>
        </w:rPr>
        <w:t>恢复</w:t>
      </w:r>
      <w:r>
        <w:rPr>
          <w:rStyle w:val="7"/>
          <w:rFonts w:ascii="仿宋" w:hAnsi="仿宋" w:eastAsia="仿宋"/>
          <w:sz w:val="32"/>
          <w:szCs w:val="32"/>
        </w:rPr>
        <w:t>和污染防治措施的前提下，对环境的不利影响可得到减缓和控制。我局同意《报告表》所列的建设项目性质、规模、地点和拟采取的</w:t>
      </w:r>
      <w:r>
        <w:rPr>
          <w:rStyle w:val="7"/>
          <w:rFonts w:hint="eastAsia" w:ascii="仿宋" w:hAnsi="仿宋" w:eastAsia="仿宋"/>
          <w:sz w:val="32"/>
          <w:szCs w:val="32"/>
        </w:rPr>
        <w:t>生态恢复和</w:t>
      </w:r>
      <w:r>
        <w:rPr>
          <w:rStyle w:val="7"/>
          <w:rFonts w:ascii="仿宋" w:hAnsi="仿宋" w:eastAsia="仿宋"/>
          <w:sz w:val="32"/>
          <w:szCs w:val="32"/>
        </w:rPr>
        <w:t>环境保护措施。</w:t>
      </w:r>
    </w:p>
    <w:p>
      <w:pPr>
        <w:pStyle w:val="19"/>
        <w:numPr>
          <w:ilvl w:val="0"/>
          <w:numId w:val="1"/>
        </w:numPr>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你公司在项目建设和运营管理中要全面落实《报告表》和本批复规定的各项生态保护与恢复和污染防治措施。重点做好以下工作：</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一）严格落实生态保护与恢复措施。从风电场建设情况看，在山地建设风电场，进场检修道路和风力发电机组等建设安装对山体、植被创破面积大，生态破坏比较严重，恢复难度大。因此，项目建设要高度重视生态保护工作，严格控制施工范围，制订详细的施工方案和植被恢复方案,在施工作业完成后，种植适应当地自然条件优势</w:t>
      </w:r>
      <w:r>
        <w:rPr>
          <w:rStyle w:val="7"/>
          <w:rFonts w:hint="eastAsia" w:ascii="仿宋" w:hAnsi="仿宋" w:eastAsia="仿宋"/>
          <w:color w:val="000000"/>
          <w:sz w:val="32"/>
          <w:szCs w:val="32"/>
        </w:rPr>
        <w:t>的</w:t>
      </w:r>
      <w:r>
        <w:rPr>
          <w:rStyle w:val="7"/>
          <w:rFonts w:ascii="仿宋" w:hAnsi="仿宋" w:eastAsia="仿宋"/>
          <w:color w:val="000000"/>
          <w:sz w:val="32"/>
          <w:szCs w:val="32"/>
        </w:rPr>
        <w:t xml:space="preserve">草灌乔植物，及时进行植被恢复，并避免外来物种入侵: </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1、以避让乔灌林、减少生态影响的优化调整方案进行项目建设，以保护林木为环境保护重点，微观选址选线、建设要优化风机布置，避开乔木林和灌木林；场内风电机至升压站集电线路采用架空敷设；采用降低生态破坏的设备运输方式，尽量减少对植被的破坏和对自然景观的影响。</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2、为了确保建设后期植被恢复，你公司须对动土区域进行表土剥离，专门堆置，并采取防止</w:t>
      </w:r>
      <w:r>
        <w:rPr>
          <w:rStyle w:val="7"/>
          <w:rFonts w:hint="eastAsia" w:ascii="仿宋" w:hAnsi="仿宋" w:eastAsia="仿宋"/>
          <w:color w:val="000000"/>
          <w:sz w:val="32"/>
          <w:szCs w:val="32"/>
        </w:rPr>
        <w:t>水土</w:t>
      </w:r>
      <w:r>
        <w:rPr>
          <w:rStyle w:val="7"/>
          <w:rFonts w:ascii="仿宋" w:hAnsi="仿宋" w:eastAsia="仿宋"/>
          <w:color w:val="000000"/>
          <w:sz w:val="32"/>
          <w:szCs w:val="32"/>
        </w:rPr>
        <w:t>流失措施，施工结束后将剥离土还原用于植被恢复。</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3、落实风电机组区、进场进站道路区、升压站区、施工场地区、输电线路区施工期和运营期各项生态保护与恢复措施。最大限度缩小风电机组、机电线路、进场检修道路施工边界，减轻生态破坏，边建设边恢复。风电机组施工完毕，周围全部平整覆土，恢复植被，进行绿化硬化。进场进站检修道路要进行路面硬化，</w:t>
      </w:r>
      <w:r>
        <w:rPr>
          <w:rStyle w:val="7"/>
          <w:rFonts w:hint="eastAsia" w:ascii="仿宋" w:hAnsi="仿宋" w:eastAsia="仿宋"/>
          <w:color w:val="000000"/>
          <w:sz w:val="32"/>
          <w:szCs w:val="32"/>
        </w:rPr>
        <w:t>两</w:t>
      </w:r>
      <w:r>
        <w:rPr>
          <w:rStyle w:val="7"/>
          <w:rFonts w:ascii="仿宋" w:hAnsi="仿宋" w:eastAsia="仿宋"/>
          <w:color w:val="000000"/>
          <w:sz w:val="32"/>
          <w:szCs w:val="32"/>
        </w:rPr>
        <w:t>侧</w:t>
      </w:r>
      <w:r>
        <w:rPr>
          <w:rStyle w:val="7"/>
          <w:rFonts w:hint="eastAsia" w:ascii="仿宋" w:hAnsi="仿宋" w:eastAsia="仿宋"/>
          <w:color w:val="000000"/>
          <w:sz w:val="32"/>
          <w:szCs w:val="32"/>
        </w:rPr>
        <w:t>修建</w:t>
      </w:r>
      <w:r>
        <w:rPr>
          <w:rStyle w:val="7"/>
          <w:rFonts w:ascii="仿宋" w:hAnsi="仿宋" w:eastAsia="仿宋"/>
          <w:color w:val="000000"/>
          <w:sz w:val="32"/>
          <w:szCs w:val="32"/>
        </w:rPr>
        <w:t>排水沟</w:t>
      </w:r>
      <w:r>
        <w:rPr>
          <w:rStyle w:val="7"/>
          <w:rFonts w:hint="eastAsia" w:ascii="仿宋" w:hAnsi="仿宋" w:eastAsia="仿宋"/>
          <w:color w:val="000000"/>
          <w:sz w:val="32"/>
          <w:szCs w:val="32"/>
        </w:rPr>
        <w:t>及护坡</w:t>
      </w:r>
      <w:r>
        <w:rPr>
          <w:rStyle w:val="7"/>
          <w:rFonts w:ascii="仿宋" w:hAnsi="仿宋" w:eastAsia="仿宋"/>
          <w:color w:val="000000"/>
          <w:sz w:val="32"/>
          <w:szCs w:val="32"/>
        </w:rPr>
        <w:t>，</w:t>
      </w:r>
      <w:r>
        <w:rPr>
          <w:rStyle w:val="7"/>
          <w:rFonts w:ascii="仿宋" w:hAnsi="仿宋" w:eastAsia="仿宋"/>
          <w:sz w:val="32"/>
          <w:szCs w:val="32"/>
        </w:rPr>
        <w:t>施工结束后对道路两侧</w:t>
      </w:r>
      <w:r>
        <w:rPr>
          <w:rStyle w:val="7"/>
          <w:rFonts w:ascii="仿宋" w:hAnsi="仿宋" w:eastAsia="仿宋"/>
          <w:color w:val="000000"/>
          <w:sz w:val="32"/>
          <w:szCs w:val="32"/>
        </w:rPr>
        <w:t>采取草灌结合恢复植被。</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4、施工过程中的弃土渣要及时送指定地点堆放，并及时覆土绿化，恢复植被，禁止顺坡倾倒。</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5、在风力发电机组叶片顶端部位漆</w:t>
      </w:r>
      <w:r>
        <w:rPr>
          <w:rStyle w:val="7"/>
          <w:rFonts w:hint="eastAsia" w:ascii="仿宋" w:hAnsi="仿宋" w:eastAsia="仿宋"/>
          <w:color w:val="000000"/>
          <w:sz w:val="32"/>
          <w:szCs w:val="32"/>
          <w:lang w:eastAsia="zh-CN"/>
        </w:rPr>
        <w:t>色</w:t>
      </w:r>
      <w:r>
        <w:rPr>
          <w:rStyle w:val="7"/>
          <w:rFonts w:ascii="仿宋" w:hAnsi="仿宋" w:eastAsia="仿宋"/>
          <w:color w:val="000000"/>
          <w:sz w:val="32"/>
          <w:szCs w:val="32"/>
        </w:rPr>
        <w:t>，在风力发电机组安装驱鸟器，防止叶片旋转对鸟类的伤害。</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（二）做好风电机噪声影响防护工作。在风电机组</w:t>
      </w:r>
      <w:r>
        <w:rPr>
          <w:rStyle w:val="7"/>
          <w:rFonts w:hint="eastAsia" w:ascii="仿宋" w:hAnsi="仿宋" w:eastAsia="仿宋"/>
          <w:color w:val="000000"/>
          <w:sz w:val="32"/>
          <w:szCs w:val="32"/>
          <w:lang w:eastAsia="zh-CN"/>
        </w:rPr>
        <w:t>和升压站</w:t>
      </w:r>
      <w:r>
        <w:rPr>
          <w:rStyle w:val="7"/>
          <w:rFonts w:ascii="仿宋" w:hAnsi="仿宋" w:eastAsia="仿宋"/>
          <w:color w:val="000000"/>
          <w:sz w:val="32"/>
          <w:szCs w:val="32"/>
        </w:rPr>
        <w:t>预测超标范围内设噪声防护区，禁止规划建设居民住宅、学校、医院等噪声敏感目标，并在风机所在区域提高植被覆盖度，以减少噪声对周边环境的影响。</w:t>
      </w:r>
    </w:p>
    <w:p>
      <w:pPr>
        <w:pStyle w:val="19"/>
        <w:spacing w:line="560" w:lineRule="exact"/>
        <w:ind w:firstLine="664" w:firstLineChars="200"/>
        <w:rPr>
          <w:rStyle w:val="7"/>
          <w:rFonts w:ascii="仿宋" w:hAnsi="仿宋" w:eastAsia="仿宋"/>
          <w:color w:val="000000"/>
          <w:sz w:val="32"/>
          <w:szCs w:val="32"/>
        </w:rPr>
      </w:pPr>
      <w:r>
        <w:rPr>
          <w:rStyle w:val="7"/>
          <w:rFonts w:ascii="仿宋" w:hAnsi="仿宋" w:eastAsia="仿宋"/>
          <w:color w:val="000000"/>
          <w:sz w:val="32"/>
          <w:szCs w:val="32"/>
        </w:rPr>
        <w:t>（三）生活污水经地埋式污水处理设施处理达到相关标准后汇入集水池</w:t>
      </w:r>
      <w:r>
        <w:rPr>
          <w:rStyle w:val="7"/>
          <w:rFonts w:hint="eastAsia" w:ascii="仿宋" w:hAnsi="仿宋" w:eastAsia="仿宋"/>
          <w:color w:val="000000"/>
          <w:sz w:val="32"/>
          <w:szCs w:val="32"/>
        </w:rPr>
        <w:t>，</w:t>
      </w:r>
      <w:r>
        <w:rPr>
          <w:rStyle w:val="7"/>
          <w:rFonts w:ascii="仿宋" w:hAnsi="仿宋" w:eastAsia="仿宋"/>
          <w:color w:val="000000"/>
          <w:sz w:val="32"/>
          <w:szCs w:val="32"/>
        </w:rPr>
        <w:t>用于绿化浇灌和厂区道路洒水，不外排。</w:t>
      </w:r>
    </w:p>
    <w:p>
      <w:pPr>
        <w:pStyle w:val="19"/>
        <w:spacing w:line="560" w:lineRule="exact"/>
        <w:ind w:firstLine="664" w:firstLineChars="200"/>
        <w:rPr>
          <w:rStyle w:val="7"/>
          <w:rFonts w:hint="eastAsia" w:ascii="仿宋" w:hAnsi="仿宋" w:eastAsia="仿宋"/>
          <w:color w:val="000000"/>
          <w:sz w:val="32"/>
          <w:szCs w:val="32"/>
        </w:rPr>
      </w:pPr>
      <w:r>
        <w:rPr>
          <w:rStyle w:val="7"/>
          <w:rFonts w:ascii="仿宋" w:hAnsi="仿宋" w:eastAsia="仿宋"/>
          <w:color w:val="000000"/>
          <w:sz w:val="32"/>
          <w:szCs w:val="32"/>
        </w:rPr>
        <w:t>（四）严格按《报告表》要求做好危废的暂存、运输和管理。项目运行产生的机油、变压器检修产生的</w:t>
      </w:r>
      <w:r>
        <w:rPr>
          <w:rStyle w:val="7"/>
          <w:rFonts w:hint="eastAsia" w:ascii="仿宋" w:hAnsi="仿宋" w:eastAsia="仿宋"/>
          <w:color w:val="000000"/>
          <w:sz w:val="32"/>
          <w:szCs w:val="32"/>
          <w:lang w:eastAsia="zh-CN"/>
        </w:rPr>
        <w:t>废</w:t>
      </w:r>
      <w:r>
        <w:rPr>
          <w:rStyle w:val="7"/>
          <w:rFonts w:ascii="仿宋" w:hAnsi="仿宋" w:eastAsia="仿宋"/>
          <w:color w:val="000000"/>
          <w:sz w:val="32"/>
          <w:szCs w:val="32"/>
        </w:rPr>
        <w:t xml:space="preserve">油、事故油池废油和废旧蓄电池集中收集分类暂存于危废暂存间，定期交有资质的单位统一处置。                      </w:t>
      </w:r>
      <w:r>
        <w:rPr>
          <w:rStyle w:val="7"/>
          <w:rFonts w:hint="eastAsia" w:ascii="仿宋" w:hAnsi="仿宋" w:eastAsia="仿宋"/>
          <w:color w:val="000000"/>
          <w:sz w:val="32"/>
          <w:szCs w:val="32"/>
        </w:rPr>
        <w:t xml:space="preserve">                      </w:t>
      </w:r>
    </w:p>
    <w:p>
      <w:pPr>
        <w:pStyle w:val="19"/>
        <w:spacing w:line="560" w:lineRule="exact"/>
        <w:ind w:firstLine="664" w:firstLineChars="200"/>
        <w:rPr>
          <w:rStyle w:val="7"/>
          <w:rFonts w:hint="eastAsia" w:ascii="仿宋" w:hAnsi="仿宋" w:eastAsia="仿宋"/>
          <w:color w:val="000000"/>
          <w:sz w:val="32"/>
          <w:szCs w:val="32"/>
        </w:rPr>
      </w:pPr>
      <w:r>
        <w:rPr>
          <w:rFonts w:hint="eastAsia" w:ascii="仿宋" w:hAnsi="仿宋" w:eastAsia="仿宋" w:cs="仿宋_GB2312"/>
          <w:kern w:val="0"/>
          <w:sz w:val="32"/>
          <w:szCs w:val="32"/>
        </w:rPr>
        <w:t>（五）强化环境风险防范和应急措施。按要求</w:t>
      </w:r>
      <w:r>
        <w:rPr>
          <w:rStyle w:val="7"/>
          <w:rFonts w:ascii="仿宋" w:hAnsi="仿宋" w:eastAsia="仿宋"/>
          <w:color w:val="000000"/>
          <w:sz w:val="32"/>
          <w:szCs w:val="32"/>
        </w:rPr>
        <w:t>设置事故油池</w:t>
      </w:r>
      <w:r>
        <w:rPr>
          <w:rStyle w:val="7"/>
          <w:rFonts w:hint="eastAsia" w:ascii="仿宋" w:hAnsi="仿宋" w:eastAsia="仿宋"/>
          <w:color w:val="000000"/>
          <w:sz w:val="32"/>
          <w:szCs w:val="32"/>
        </w:rPr>
        <w:t>、集水池，</w:t>
      </w:r>
      <w:r>
        <w:rPr>
          <w:rStyle w:val="7"/>
          <w:rFonts w:ascii="仿宋" w:hAnsi="仿宋" w:eastAsia="仿宋"/>
          <w:color w:val="000000"/>
          <w:sz w:val="32"/>
          <w:szCs w:val="32"/>
        </w:rPr>
        <w:t>变压器四周设排油槽、集油坑并做好防渗措施，</w:t>
      </w:r>
      <w:r>
        <w:rPr>
          <w:rFonts w:hint="eastAsia" w:ascii="仿宋" w:hAnsi="仿宋" w:eastAsia="仿宋" w:cs="仿宋_GB2312"/>
          <w:kern w:val="0"/>
          <w:sz w:val="32"/>
          <w:szCs w:val="32"/>
        </w:rPr>
        <w:t>以防污染地下水和泄漏引发火灾事故发生，有效防范和应对环境风险。</w:t>
      </w:r>
    </w:p>
    <w:p>
      <w:pPr>
        <w:pStyle w:val="19"/>
        <w:spacing w:line="560" w:lineRule="exact"/>
        <w:ind w:firstLine="830" w:firstLineChars="250"/>
        <w:rPr>
          <w:rStyle w:val="7"/>
          <w:rFonts w:ascii="仿宋" w:hAnsi="仿宋" w:eastAsia="仿宋"/>
          <w:color w:val="000000"/>
          <w:sz w:val="32"/>
          <w:szCs w:val="32"/>
        </w:rPr>
      </w:pPr>
      <w:r>
        <w:rPr>
          <w:rStyle w:val="7"/>
          <w:rFonts w:ascii="仿宋" w:hAnsi="仿宋" w:eastAsia="仿宋"/>
          <w:color w:val="000000"/>
          <w:sz w:val="32"/>
          <w:szCs w:val="32"/>
        </w:rPr>
        <w:t>（</w:t>
      </w:r>
      <w:r>
        <w:rPr>
          <w:rStyle w:val="7"/>
          <w:rFonts w:hint="eastAsia" w:ascii="仿宋" w:hAnsi="仿宋" w:eastAsia="仿宋"/>
          <w:color w:val="000000"/>
          <w:sz w:val="32"/>
          <w:szCs w:val="32"/>
        </w:rPr>
        <w:t>六</w:t>
      </w:r>
      <w:r>
        <w:rPr>
          <w:rStyle w:val="7"/>
          <w:rFonts w:ascii="仿宋" w:hAnsi="仿宋" w:eastAsia="仿宋"/>
          <w:color w:val="000000"/>
          <w:sz w:val="32"/>
          <w:szCs w:val="32"/>
        </w:rPr>
        <w:t>）开展施工期环境监理，把生态保护和恢复措施落实情况作为本工程竣工环境保护验收的首要依据。</w:t>
      </w:r>
    </w:p>
    <w:p>
      <w:pPr>
        <w:pStyle w:val="18"/>
        <w:spacing w:line="560" w:lineRule="exact"/>
        <w:ind w:firstLine="640" w:firstLineChars="200"/>
        <w:rPr>
          <w:rStyle w:val="7"/>
          <w:rFonts w:ascii="仿宋" w:hAnsi="仿宋" w:eastAsia="仿宋"/>
          <w:sz w:val="32"/>
          <w:szCs w:val="32"/>
        </w:rPr>
      </w:pPr>
      <w:r>
        <w:rPr>
          <w:rStyle w:val="7"/>
          <w:rFonts w:ascii="仿宋" w:hAnsi="仿宋" w:eastAsia="仿宋"/>
          <w:sz w:val="32"/>
          <w:szCs w:val="32"/>
        </w:rPr>
        <w:t>三、项目建设必须依法严格执行环境保护设施与主体工程同时设计、同时施工、同时投产使用的环境保护“三同时”制度，项目建成后,须按规定程序实施竣工环境保护验收。</w:t>
      </w:r>
    </w:p>
    <w:p>
      <w:pPr>
        <w:pStyle w:val="17"/>
        <w:spacing w:line="560" w:lineRule="exact"/>
        <w:ind w:firstLine="640" w:firstLineChars="200"/>
        <w:rPr>
          <w:rStyle w:val="7"/>
          <w:rFonts w:ascii="仿宋" w:hAnsi="仿宋" w:eastAsia="仿宋"/>
          <w:sz w:val="32"/>
          <w:szCs w:val="32"/>
        </w:rPr>
      </w:pPr>
      <w:r>
        <w:rPr>
          <w:rStyle w:val="7"/>
          <w:rFonts w:ascii="仿宋" w:hAnsi="仿宋" w:eastAsia="仿宋"/>
          <w:sz w:val="32"/>
          <w:szCs w:val="32"/>
        </w:rPr>
        <w:t>四、委托襄垣县环境监察大队组织开展该项目“三同时”监督检查及监督管理工作。</w:t>
      </w:r>
    </w:p>
    <w:p>
      <w:pPr>
        <w:spacing w:line="560" w:lineRule="exact"/>
        <w:ind w:firstLine="640" w:firstLineChars="200"/>
        <w:rPr>
          <w:rStyle w:val="7"/>
          <w:rFonts w:ascii="仿宋" w:hAnsi="仿宋" w:eastAsia="仿宋"/>
          <w:sz w:val="32"/>
          <w:szCs w:val="32"/>
        </w:rPr>
      </w:pPr>
    </w:p>
    <w:p>
      <w:pPr>
        <w:spacing w:line="560" w:lineRule="exact"/>
        <w:ind w:right="640"/>
        <w:jc w:val="center"/>
        <w:rPr>
          <w:rStyle w:val="7"/>
          <w:rFonts w:ascii="仿宋" w:hAnsi="仿宋" w:eastAsia="仿宋"/>
          <w:sz w:val="32"/>
          <w:szCs w:val="32"/>
        </w:rPr>
      </w:pPr>
      <w:r>
        <w:rPr>
          <w:rStyle w:val="7"/>
          <w:rFonts w:ascii="仿宋" w:hAnsi="仿宋" w:eastAsia="仿宋"/>
          <w:sz w:val="32"/>
          <w:szCs w:val="32"/>
        </w:rPr>
        <w:t xml:space="preserve">                            襄垣县环境保护局</w:t>
      </w:r>
    </w:p>
    <w:p>
      <w:pPr>
        <w:pStyle w:val="17"/>
        <w:spacing w:line="560" w:lineRule="exact"/>
        <w:ind w:left="3570" w:leftChars="1700" w:firstLine="640" w:firstLineChars="200"/>
        <w:jc w:val="left"/>
        <w:rPr>
          <w:rStyle w:val="7"/>
          <w:rFonts w:ascii="仿宋" w:hAnsi="仿宋" w:eastAsia="仿宋"/>
          <w:sz w:val="32"/>
          <w:szCs w:val="32"/>
        </w:rPr>
      </w:pPr>
      <w:r>
        <w:rPr>
          <w:rStyle w:val="7"/>
          <w:rFonts w:ascii="仿宋" w:hAnsi="仿宋" w:eastAsia="仿宋"/>
          <w:sz w:val="32"/>
          <w:szCs w:val="32"/>
        </w:rPr>
        <w:t xml:space="preserve">    2019年</w:t>
      </w:r>
      <w:r>
        <w:rPr>
          <w:rStyle w:val="7"/>
          <w:rFonts w:hint="eastAsia" w:ascii="仿宋" w:hAnsi="仿宋" w:eastAsia="仿宋"/>
          <w:sz w:val="32"/>
          <w:szCs w:val="32"/>
          <w:lang w:val="en-US" w:eastAsia="zh-CN"/>
        </w:rPr>
        <w:t>6</w:t>
      </w:r>
      <w:r>
        <w:rPr>
          <w:rStyle w:val="7"/>
          <w:rFonts w:ascii="仿宋" w:hAnsi="仿宋" w:eastAsia="仿宋"/>
          <w:sz w:val="32"/>
          <w:szCs w:val="32"/>
        </w:rPr>
        <w:t>月</w:t>
      </w:r>
      <w:r>
        <w:rPr>
          <w:rStyle w:val="7"/>
          <w:rFonts w:hint="eastAsia" w:ascii="仿宋" w:hAnsi="仿宋" w:eastAsia="仿宋"/>
          <w:sz w:val="32"/>
          <w:szCs w:val="32"/>
          <w:lang w:val="en-US" w:eastAsia="zh-CN"/>
        </w:rPr>
        <w:t>12</w:t>
      </w:r>
      <w:r>
        <w:rPr>
          <w:rStyle w:val="7"/>
          <w:rFonts w:ascii="仿宋" w:hAnsi="仿宋" w:eastAsia="仿宋"/>
          <w:sz w:val="32"/>
          <w:szCs w:val="32"/>
        </w:rPr>
        <w:t xml:space="preserve">日                                                       </w:t>
      </w:r>
    </w:p>
    <w:p>
      <w:pPr>
        <w:pStyle w:val="17"/>
        <w:spacing w:line="560" w:lineRule="exact"/>
        <w:jc w:val="left"/>
        <w:rPr>
          <w:rStyle w:val="7"/>
          <w:rFonts w:ascii="仿宋" w:hAnsi="仿宋" w:eastAsia="仿宋"/>
          <w:sz w:val="32"/>
          <w:szCs w:val="32"/>
        </w:rPr>
      </w:pPr>
      <w:r>
        <w:rPr>
          <w:rStyle w:val="7"/>
          <w:rFonts w:ascii="仿宋" w:hAnsi="仿宋" w:eastAsia="仿宋"/>
          <w:sz w:val="32"/>
          <w:szCs w:val="32"/>
        </w:rPr>
        <w:t xml:space="preserve"> </w:t>
      </w:r>
    </w:p>
    <w:p>
      <w:pPr>
        <w:pStyle w:val="17"/>
        <w:spacing w:line="560" w:lineRule="exact"/>
        <w:jc w:val="left"/>
        <w:rPr>
          <w:rStyle w:val="7"/>
          <w:rFonts w:ascii="仿宋" w:hAnsi="仿宋" w:eastAsia="仿宋"/>
          <w:sz w:val="32"/>
          <w:szCs w:val="32"/>
        </w:rPr>
      </w:pPr>
      <w:r>
        <w:rPr>
          <w:sz w:val="19"/>
        </w:rPr>
        <w:t>和</w:t>
      </w:r>
    </w:p>
    <w:p>
      <w:pPr>
        <w:spacing w:line="560" w:lineRule="exact"/>
        <w:rPr>
          <w:rStyle w:val="7"/>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6ED2"/>
    <w:multiLevelType w:val="singleLevel"/>
    <w:tmpl w:val="0BEA6ED2"/>
    <w:lvl w:ilvl="0" w:tentative="0">
      <w:start w:val="1"/>
      <w:numFmt w:val="chineseCounting"/>
      <w:suff w:val="nothing"/>
      <w:lvlText w:val="%1、"/>
      <w:lvlJc w:val="left"/>
      <w:pPr>
        <w:widowControl/>
        <w:spacing w:line="240" w:lineRule="auto"/>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CB4523"/>
    <w:rsid w:val="00014CF4"/>
    <w:rsid w:val="0009619E"/>
    <w:rsid w:val="001A73CD"/>
    <w:rsid w:val="00421545"/>
    <w:rsid w:val="0082687E"/>
    <w:rsid w:val="0091546C"/>
    <w:rsid w:val="009A62DA"/>
    <w:rsid w:val="00AC3C16"/>
    <w:rsid w:val="00C23EF5"/>
    <w:rsid w:val="00CB4523"/>
    <w:rsid w:val="00D91A0E"/>
    <w:rsid w:val="00DC7980"/>
    <w:rsid w:val="00E66A7C"/>
    <w:rsid w:val="00EB449D"/>
    <w:rsid w:val="00FC4FC5"/>
    <w:rsid w:val="36265274"/>
    <w:rsid w:val="5C1D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1"/>
    <w:next w:val="1"/>
    <w:qFormat/>
    <w:uiPriority w:val="0"/>
    <w:pPr>
      <w:spacing w:after="120"/>
      <w:ind w:left="420" w:leftChars="200" w:firstLine="420" w:firstLineChars="200"/>
    </w:pPr>
    <w:rPr>
      <w:sz w:val="32"/>
    </w:rPr>
  </w:style>
  <w:style w:type="paragraph" w:styleId="3">
    <w:name w:val="footer"/>
    <w:basedOn w:val="1"/>
    <w:link w:val="21"/>
    <w:semiHidden/>
    <w:unhideWhenUsed/>
    <w:uiPriority w:val="99"/>
    <w:pPr>
      <w:tabs>
        <w:tab w:val="center" w:pos="4153"/>
        <w:tab w:val="right" w:pos="8306"/>
      </w:tabs>
      <w:snapToGrid w:val="0"/>
      <w:jc w:val="left"/>
    </w:pPr>
    <w:rPr>
      <w:sz w:val="18"/>
      <w:szCs w:val="18"/>
    </w:rPr>
  </w:style>
  <w:style w:type="paragraph" w:styleId="4">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uiPriority w:val="0"/>
  </w:style>
  <w:style w:type="table" w:customStyle="1" w:styleId="8">
    <w:name w:val="TableNormal"/>
    <w:semiHidden/>
    <w:uiPriority w:val="0"/>
    <w:tblPr>
      <w:tblLayout w:type="fixed"/>
      <w:tblCellMar>
        <w:top w:w="0" w:type="dxa"/>
        <w:left w:w="0" w:type="dxa"/>
        <w:bottom w:w="0" w:type="dxa"/>
        <w:right w:w="0" w:type="dxa"/>
      </w:tblCellMar>
    </w:tblPr>
  </w:style>
  <w:style w:type="character" w:customStyle="1" w:styleId="9">
    <w:name w:val="UserStyle_0"/>
    <w:basedOn w:val="7"/>
    <w:link w:val="10"/>
    <w:uiPriority w:val="0"/>
    <w:rPr>
      <w:kern w:val="2"/>
      <w:sz w:val="18"/>
      <w:szCs w:val="18"/>
    </w:rPr>
  </w:style>
  <w:style w:type="paragraph" w:customStyle="1" w:styleId="10">
    <w:name w:val="Footer"/>
    <w:basedOn w:val="1"/>
    <w:link w:val="9"/>
    <w:uiPriority w:val="0"/>
    <w:pPr>
      <w:tabs>
        <w:tab w:val="right" w:pos="4153"/>
        <w:tab w:val="left" w:leader="underscore" w:pos="8306"/>
      </w:tabs>
      <w:snapToGrid w:val="0"/>
      <w:jc w:val="left"/>
    </w:pPr>
    <w:rPr>
      <w:sz w:val="18"/>
      <w:szCs w:val="18"/>
    </w:rPr>
  </w:style>
  <w:style w:type="character" w:customStyle="1" w:styleId="11">
    <w:name w:val="UserStyle_1"/>
    <w:basedOn w:val="7"/>
    <w:link w:val="12"/>
    <w:qFormat/>
    <w:uiPriority w:val="0"/>
    <w:rPr>
      <w:kern w:val="2"/>
      <w:sz w:val="18"/>
      <w:szCs w:val="18"/>
    </w:rPr>
  </w:style>
  <w:style w:type="paragraph" w:customStyle="1" w:styleId="12">
    <w:name w:val="Acetate"/>
    <w:basedOn w:val="1"/>
    <w:link w:val="11"/>
    <w:uiPriority w:val="0"/>
    <w:rPr>
      <w:sz w:val="18"/>
      <w:szCs w:val="18"/>
    </w:rPr>
  </w:style>
  <w:style w:type="character" w:customStyle="1" w:styleId="13">
    <w:name w:val="UserStyle_2"/>
    <w:basedOn w:val="7"/>
    <w:link w:val="14"/>
    <w:qFormat/>
    <w:uiPriority w:val="0"/>
    <w:rPr>
      <w:kern w:val="2"/>
      <w:sz w:val="18"/>
      <w:szCs w:val="18"/>
    </w:rPr>
  </w:style>
  <w:style w:type="paragraph" w:customStyle="1" w:styleId="14">
    <w:name w:val="Header"/>
    <w:basedOn w:val="1"/>
    <w:link w:val="13"/>
    <w:uiPriority w:val="0"/>
    <w:pPr>
      <w:pBdr>
        <w:bottom w:val="single" w:color="000000" w:sz="6" w:space="1"/>
      </w:pBdr>
      <w:tabs>
        <w:tab w:val="right" w:pos="4153"/>
        <w:tab w:val="left" w:leader="underscore" w:pos="8306"/>
      </w:tabs>
      <w:snapToGrid w:val="0"/>
      <w:jc w:val="center"/>
    </w:pPr>
    <w:rPr>
      <w:sz w:val="18"/>
      <w:szCs w:val="18"/>
    </w:rPr>
  </w:style>
  <w:style w:type="paragraph" w:customStyle="1" w:styleId="15">
    <w:name w:val="UserStyle_3"/>
    <w:basedOn w:val="1"/>
    <w:qFormat/>
    <w:uiPriority w:val="0"/>
    <w:rPr>
      <w:kern w:val="0"/>
      <w:szCs w:val="21"/>
    </w:rPr>
  </w:style>
  <w:style w:type="paragraph" w:customStyle="1" w:styleId="16">
    <w:name w:val="Index8"/>
    <w:basedOn w:val="1"/>
    <w:next w:val="1"/>
    <w:qFormat/>
    <w:uiPriority w:val="0"/>
    <w:pPr>
      <w:ind w:left="1400" w:leftChars="1400"/>
    </w:pPr>
  </w:style>
  <w:style w:type="paragraph" w:customStyle="1" w:styleId="17">
    <w:name w:val="UserStyle_4"/>
    <w:uiPriority w:val="0"/>
    <w:pPr>
      <w:jc w:val="both"/>
    </w:pPr>
    <w:rPr>
      <w:rFonts w:ascii="Times New Roman" w:hAnsi="Times New Roman" w:eastAsia="宋体" w:cs="Times New Roman"/>
      <w:kern w:val="2"/>
      <w:sz w:val="21"/>
      <w:szCs w:val="24"/>
      <w:lang w:val="en-US" w:eastAsia="zh-CN" w:bidi="ar-SA"/>
    </w:rPr>
  </w:style>
  <w:style w:type="paragraph" w:customStyle="1" w:styleId="18">
    <w:name w:val="UserStyle_5"/>
    <w:uiPriority w:val="0"/>
    <w:pPr>
      <w:jc w:val="both"/>
    </w:pPr>
    <w:rPr>
      <w:rFonts w:ascii="Times New Roman" w:hAnsi="Times New Roman" w:eastAsia="宋体" w:cs="Times New Roman"/>
      <w:kern w:val="2"/>
      <w:sz w:val="21"/>
      <w:szCs w:val="24"/>
      <w:lang w:val="en-US" w:eastAsia="zh-CN" w:bidi="ar-SA"/>
    </w:rPr>
  </w:style>
  <w:style w:type="paragraph" w:customStyle="1" w:styleId="19">
    <w:name w:val="HtmlNormal"/>
    <w:basedOn w:val="1"/>
    <w:qFormat/>
    <w:uiPriority w:val="0"/>
    <w:rPr>
      <w:spacing w:val="6"/>
      <w:sz w:val="24"/>
    </w:rPr>
  </w:style>
  <w:style w:type="character" w:customStyle="1" w:styleId="20">
    <w:name w:val="页眉 Char"/>
    <w:basedOn w:val="6"/>
    <w:link w:val="4"/>
    <w:semiHidden/>
    <w:qFormat/>
    <w:uiPriority w:val="99"/>
    <w:rPr>
      <w:kern w:val="2"/>
      <w:sz w:val="18"/>
      <w:szCs w:val="18"/>
    </w:rPr>
  </w:style>
  <w:style w:type="character" w:customStyle="1" w:styleId="21">
    <w:name w:val="页脚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259</Words>
  <Characters>1482</Characters>
  <Lines>12</Lines>
  <Paragraphs>3</Paragraphs>
  <TotalTime>4</TotalTime>
  <ScaleCrop>false</ScaleCrop>
  <LinksUpToDate>false</LinksUpToDate>
  <CharactersWithSpaces>1738</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2019-06-12T01:43:00Z</dcterms:created>
  <dc:creator>Administrator</dc:creator>
  <cp:lastModifiedBy>喜乐</cp:lastModifiedBy>
  <dcterms:modified xsi:type="dcterms:W3CDTF">2019-06-13T07:09:56Z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