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CEBFA">
      <w:pPr>
        <w:keepNext w:val="0"/>
        <w:keepLines w:val="0"/>
        <w:pageBreakBefore w:val="0"/>
        <w:widowControl w:val="0"/>
        <w:kinsoku/>
        <w:wordWrap/>
        <w:overflowPunct w:val="0"/>
        <w:topLinePunct/>
        <w:autoSpaceDE/>
        <w:autoSpaceDN/>
        <w:bidi w:val="0"/>
        <w:adjustRightInd/>
        <w:snapToGrid w:val="0"/>
        <w:spacing w:line="576" w:lineRule="exact"/>
        <w:jc w:val="center"/>
        <w:textAlignment w:val="auto"/>
        <w:rPr>
          <w:rFonts w:hint="eastAsia" w:ascii="Times New Roman" w:hAnsi="Times New Roman" w:eastAsia="方正小标宋_GBK" w:cs="方正小标宋_GBK"/>
          <w:caps w:val="0"/>
          <w:color w:val="auto"/>
          <w:spacing w:val="0"/>
          <w:w w:val="100"/>
          <w:sz w:val="44"/>
          <w:szCs w:val="44"/>
          <w:lang w:val="en-US" w:eastAsia="zh-CN"/>
        </w:rPr>
      </w:pPr>
      <w:r>
        <w:rPr>
          <w:rFonts w:hint="eastAsia" w:ascii="Times New Roman" w:hAnsi="Times New Roman" w:eastAsia="方正小标宋_GBK" w:cs="方正小标宋_GBK"/>
          <w:caps w:val="0"/>
          <w:color w:val="auto"/>
          <w:spacing w:val="0"/>
          <w:w w:val="100"/>
          <w:sz w:val="44"/>
          <w:szCs w:val="44"/>
          <w:lang w:val="en-US" w:eastAsia="zh-CN"/>
        </w:rPr>
        <w:t>襄垣县林业局</w:t>
      </w:r>
    </w:p>
    <w:p w14:paraId="419917D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仿宋_GB2312"/>
          <w:bCs/>
          <w:color w:val="070707"/>
          <w:spacing w:val="0"/>
          <w:w w:val="100"/>
          <w:sz w:val="44"/>
          <w:szCs w:val="32"/>
          <w:lang w:val="en-US" w:eastAsia="zh-CN"/>
        </w:rPr>
      </w:pPr>
      <w:r>
        <w:rPr>
          <w:rFonts w:hint="default" w:ascii="Times New Roman" w:hAnsi="Times New Roman" w:eastAsia="方正小标宋_GBK" w:cs="仿宋_GB2312"/>
          <w:bCs/>
          <w:color w:val="070707"/>
          <w:spacing w:val="0"/>
          <w:w w:val="100"/>
          <w:sz w:val="44"/>
          <w:szCs w:val="32"/>
          <w:lang w:val="en-US" w:eastAsia="zh-CN"/>
        </w:rPr>
        <w:t>关于全县林业“十四五”及2025年工作总结和“十五五”及2026年工作计划的报告</w:t>
      </w:r>
    </w:p>
    <w:p w14:paraId="4AE8AC6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sz w:val="32"/>
          <w:szCs w:val="32"/>
          <w:lang w:eastAsia="zh-CN"/>
        </w:rPr>
      </w:pPr>
    </w:p>
    <w:p w14:paraId="29C3FF2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“十四五”时期，在习近平生态文明思想的科学指引下，襄垣县林业系统坚决贯彻落实县委、县政府“</w:t>
      </w:r>
      <w:r>
        <w:rPr>
          <w:rFonts w:hint="eastAsia" w:ascii="Times New Roman" w:hAnsi="Times New Roman" w:eastAsia="仿宋_GB2312" w:cs="仿宋_GB2312"/>
          <w:sz w:val="32"/>
          <w:szCs w:val="32"/>
          <w:lang w:eastAsia="zh-CN"/>
        </w:rPr>
        <w:t>良好生态、宜居生活、绿色生产</w:t>
      </w:r>
      <w:r>
        <w:rPr>
          <w:rFonts w:hint="eastAsia" w:ascii="Times New Roman" w:hAnsi="Times New Roman" w:eastAsia="仿宋_GB2312" w:cs="仿宋_GB2312"/>
          <w:sz w:val="32"/>
          <w:szCs w:val="32"/>
        </w:rPr>
        <w:t>”战略部署，积极应对机构改革带来的挑战，统筹推进山水林田湖草沙系统治理，在生态建设、资源保护、改革攻坚、产业发展等方面取得了突破性进展，为全县经济社会高质量发展奠定了坚实的生态基础。“十五五”时期是推动林业高质量发展的关键五年</w:t>
      </w:r>
      <w:r>
        <w:rPr>
          <w:rFonts w:hint="eastAsia" w:ascii="Times New Roman" w:hAnsi="Times New Roman" w:eastAsia="仿宋_GB2312" w:cs="仿宋_GB2312"/>
          <w:sz w:val="32"/>
          <w:szCs w:val="32"/>
          <w:lang w:eastAsia="zh-CN"/>
        </w:rPr>
        <w:t>，党的二十届四中全会对林业工作做出了新部署。</w:t>
      </w:r>
      <w:r>
        <w:rPr>
          <w:rFonts w:hint="eastAsia" w:ascii="Times New Roman" w:hAnsi="Times New Roman" w:eastAsia="仿宋_GB2312" w:cs="仿宋_GB2312"/>
          <w:sz w:val="32"/>
          <w:szCs w:val="32"/>
        </w:rPr>
        <w:t>为全面总结过去五年的成绩与经验，科学谋划未来五年的发展蓝图，依据国家及省、市关于林业草原工作的最新政策精神，结合</w:t>
      </w:r>
      <w:r>
        <w:rPr>
          <w:rFonts w:hint="eastAsia" w:ascii="Times New Roman" w:hAnsi="Times New Roman" w:eastAsia="仿宋_GB2312" w:cs="仿宋_GB2312"/>
          <w:sz w:val="32"/>
          <w:szCs w:val="32"/>
          <w:lang w:eastAsia="zh-CN"/>
        </w:rPr>
        <w:t>我县</w:t>
      </w:r>
      <w:r>
        <w:rPr>
          <w:rFonts w:hint="eastAsia" w:ascii="Times New Roman" w:hAnsi="Times New Roman" w:eastAsia="仿宋_GB2312" w:cs="仿宋_GB2312"/>
          <w:sz w:val="32"/>
          <w:szCs w:val="32"/>
        </w:rPr>
        <w:t>实际，特编制本报告。</w:t>
      </w:r>
    </w:p>
    <w:p w14:paraId="11D3314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国标仿宋" w:cs="国标仿宋"/>
          <w:sz w:val="32"/>
          <w:szCs w:val="32"/>
        </w:rPr>
      </w:pPr>
    </w:p>
    <w:p w14:paraId="4056E416">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第一章 “十四五”时期林业工作回顾与评估</w:t>
      </w:r>
    </w:p>
    <w:p w14:paraId="1630E5B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黑体" w:cs="国标黑体"/>
          <w:sz w:val="32"/>
          <w:szCs w:val="32"/>
        </w:rPr>
      </w:pPr>
    </w:p>
    <w:p w14:paraId="0F1492E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一、主要工作成效与亮点</w:t>
      </w:r>
    </w:p>
    <w:p w14:paraId="5C9C90D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（一）生态建设跨越发展，绿色版图持续扩展</w:t>
      </w:r>
    </w:p>
    <w:p w14:paraId="6DB9931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1.国土绿化任务超额完成</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全县累计完成人工造林</w:t>
      </w:r>
      <w:r>
        <w:rPr>
          <w:rFonts w:hint="eastAsia" w:ascii="Times New Roman" w:hAnsi="Times New Roman" w:eastAsia="仿宋_GB2312" w:cs="仿宋_GB2312"/>
          <w:sz w:val="32"/>
          <w:szCs w:val="32"/>
          <w:lang w:val="en-US" w:eastAsia="zh-CN"/>
        </w:rPr>
        <w:t>10.582</w:t>
      </w:r>
      <w:r>
        <w:rPr>
          <w:rFonts w:hint="eastAsia" w:ascii="Times New Roman" w:hAnsi="Times New Roman" w:eastAsia="仿宋_GB2312" w:cs="仿宋_GB2312"/>
          <w:sz w:val="32"/>
          <w:szCs w:val="32"/>
        </w:rPr>
        <w:t>万亩，完成封山育林</w:t>
      </w:r>
      <w:r>
        <w:rPr>
          <w:rFonts w:hint="eastAsia" w:ascii="Times New Roman" w:hAnsi="Times New Roman" w:eastAsia="仿宋_GB2312" w:cs="仿宋_GB2312"/>
          <w:sz w:val="32"/>
          <w:szCs w:val="32"/>
          <w:lang w:val="en-US" w:eastAsia="zh-CN"/>
        </w:rPr>
        <w:t>6.07</w:t>
      </w:r>
      <w:r>
        <w:rPr>
          <w:rFonts w:hint="eastAsia" w:ascii="Times New Roman" w:hAnsi="Times New Roman" w:eastAsia="仿宋_GB2312" w:cs="仿宋_GB2312"/>
          <w:sz w:val="32"/>
          <w:szCs w:val="32"/>
        </w:rPr>
        <w:t>万亩、退化林修复3</w:t>
      </w:r>
      <w:r>
        <w:rPr>
          <w:rFonts w:hint="eastAsia" w:ascii="Times New Roman" w:hAnsi="Times New Roman" w:eastAsia="仿宋_GB2312" w:cs="仿宋_GB2312"/>
          <w:sz w:val="32"/>
          <w:szCs w:val="32"/>
          <w:lang w:val="en-US" w:eastAsia="zh-CN"/>
        </w:rPr>
        <w:t>.29</w:t>
      </w:r>
      <w:r>
        <w:rPr>
          <w:rFonts w:hint="eastAsia" w:ascii="Times New Roman" w:hAnsi="Times New Roman" w:eastAsia="仿宋_GB2312" w:cs="仿宋_GB2312"/>
          <w:sz w:val="32"/>
          <w:szCs w:val="32"/>
        </w:rPr>
        <w:t>万亩、飞播造林</w:t>
      </w:r>
      <w:bookmarkStart w:id="0" w:name="_GoBack"/>
      <w:bookmarkEnd w:id="0"/>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万亩。成功实施</w:t>
      </w:r>
      <w:r>
        <w:rPr>
          <w:rFonts w:hint="eastAsia" w:ascii="Times New Roman" w:hAnsi="Times New Roman" w:eastAsia="仿宋_GB2312" w:cs="仿宋_GB2312"/>
          <w:sz w:val="32"/>
          <w:szCs w:val="32"/>
          <w:lang w:eastAsia="zh-CN"/>
        </w:rPr>
        <w:t>黄土高原水土流失综合治理、中央财政补贴造林、</w:t>
      </w:r>
      <w:r>
        <w:rPr>
          <w:rFonts w:hint="eastAsia" w:ascii="Times New Roman" w:hAnsi="Times New Roman" w:eastAsia="仿宋_GB2312" w:cs="仿宋_GB2312"/>
          <w:sz w:val="32"/>
          <w:szCs w:val="32"/>
        </w:rPr>
        <w:t>环京津冀生态安全屏障建设、太行山生态保护和修复等国家级、省级重点工程，累计争取上级资金投入</w:t>
      </w:r>
      <w:r>
        <w:rPr>
          <w:rFonts w:hint="eastAsia" w:ascii="Times New Roman" w:hAnsi="Times New Roman" w:eastAsia="仿宋_GB2312" w:cs="仿宋_GB2312"/>
          <w:sz w:val="32"/>
          <w:szCs w:val="32"/>
          <w:lang w:eastAsia="zh-CN"/>
        </w:rPr>
        <w:t>近</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23亿元。</w:t>
      </w:r>
    </w:p>
    <w:p w14:paraId="777B200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2.重点区域绿化亮点纷呈</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聚焦漳河流域生态治理</w:t>
      </w:r>
      <w:r>
        <w:rPr>
          <w:rFonts w:hint="eastAsia" w:ascii="Times New Roman" w:hAnsi="Times New Roman" w:eastAsia="仿宋_GB2312" w:cs="仿宋_GB2312"/>
          <w:sz w:val="32"/>
          <w:szCs w:val="32"/>
          <w:lang w:eastAsia="zh-CN"/>
        </w:rPr>
        <w:t>与打造“百里漳江美丽画廊”</w:t>
      </w:r>
      <w:r>
        <w:rPr>
          <w:rFonts w:hint="eastAsia" w:ascii="Times New Roman" w:hAnsi="Times New Roman" w:eastAsia="仿宋_GB2312" w:cs="仿宋_GB2312"/>
          <w:sz w:val="32"/>
          <w:szCs w:val="32"/>
        </w:rPr>
        <w:t>，2024年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2025年连续</w:t>
      </w:r>
      <w:r>
        <w:rPr>
          <w:rFonts w:hint="eastAsia" w:ascii="Times New Roman" w:hAnsi="Times New Roman" w:eastAsia="仿宋_GB2312" w:cs="仿宋_GB2312"/>
          <w:sz w:val="32"/>
          <w:szCs w:val="32"/>
        </w:rPr>
        <w:t>组织开展大规模义务植树活动，在漳河沿岸</w:t>
      </w:r>
      <w:r>
        <w:rPr>
          <w:rFonts w:hint="eastAsia" w:ascii="Times New Roman" w:hAnsi="Times New Roman" w:eastAsia="仿宋_GB2312" w:cs="仿宋_GB2312"/>
          <w:sz w:val="32"/>
          <w:szCs w:val="32"/>
          <w:lang w:eastAsia="zh-CN"/>
        </w:rPr>
        <w:t>及县域重要通道和出口</w:t>
      </w:r>
      <w:r>
        <w:rPr>
          <w:rFonts w:hint="eastAsia" w:ascii="Times New Roman" w:hAnsi="Times New Roman" w:eastAsia="仿宋_GB2312" w:cs="仿宋_GB2312"/>
          <w:sz w:val="32"/>
          <w:szCs w:val="32"/>
        </w:rPr>
        <w:t>栽植各类苗木</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万余株，打造了“针阔混交、乔灌结合、色彩丰富”的生态景观带，获得了市委主要领导的肯定性批示，形成了全民参与绿化的良好社会氛围。</w:t>
      </w:r>
    </w:p>
    <w:p w14:paraId="7A4DFF0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3.自然保护地体系优化升级</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lang w:eastAsia="zh-CN"/>
        </w:rPr>
        <w:t>强力推进自然保护地</w:t>
      </w:r>
      <w:r>
        <w:rPr>
          <w:rFonts w:hint="eastAsia" w:ascii="Times New Roman" w:hAnsi="Times New Roman" w:eastAsia="仿宋_GB2312" w:cs="仿宋_GB2312"/>
          <w:sz w:val="32"/>
          <w:szCs w:val="32"/>
        </w:rPr>
        <w:t>整合优化工作，</w:t>
      </w:r>
      <w:r>
        <w:rPr>
          <w:rFonts w:hint="eastAsia" w:ascii="Times New Roman" w:hAnsi="Times New Roman" w:eastAsia="仿宋_GB2312" w:cs="仿宋_GB2312"/>
          <w:sz w:val="32"/>
          <w:szCs w:val="32"/>
          <w:lang w:eastAsia="zh-CN"/>
        </w:rPr>
        <w:t>将全县</w:t>
      </w:r>
      <w:r>
        <w:rPr>
          <w:rFonts w:hint="eastAsia" w:ascii="Times New Roman" w:hAnsi="Times New Roman" w:eastAsia="仿宋_GB2312" w:cs="仿宋_GB2312"/>
          <w:sz w:val="32"/>
          <w:szCs w:val="32"/>
          <w:lang w:val="en-US" w:eastAsia="zh-CN"/>
        </w:rPr>
        <w:t>4个自然</w:t>
      </w:r>
      <w:r>
        <w:rPr>
          <w:rFonts w:hint="eastAsia" w:ascii="Times New Roman" w:hAnsi="Times New Roman" w:eastAsia="仿宋_GB2312" w:cs="仿宋_GB2312"/>
          <w:sz w:val="32"/>
          <w:szCs w:val="32"/>
          <w:lang w:eastAsia="zh-CN"/>
        </w:rPr>
        <w:t>公园整合优化为</w:t>
      </w:r>
      <w:r>
        <w:rPr>
          <w:rFonts w:hint="eastAsia" w:ascii="Times New Roman" w:hAnsi="Times New Roman" w:eastAsia="仿宋_GB2312" w:cs="仿宋_GB2312"/>
          <w:sz w:val="32"/>
          <w:szCs w:val="32"/>
          <w:lang w:val="en-US" w:eastAsia="zh-CN"/>
        </w:rPr>
        <w:t>2个，</w:t>
      </w:r>
      <w:r>
        <w:rPr>
          <w:rFonts w:hint="eastAsia" w:ascii="Times New Roman" w:hAnsi="Times New Roman" w:eastAsia="仿宋_GB2312" w:cs="仿宋_GB2312"/>
          <w:sz w:val="32"/>
          <w:szCs w:val="32"/>
        </w:rPr>
        <w:t>解决了多头管理、范围重叠的历史问题。深入推进三漳湿地公园的科学考察与本底资源调查，布设红外相机66台、植物样方33个，系统性掌握了湿地资源状况。投资155万元，新建瞭望塔、监测站点等管护设施，湿地生态功能稳步提升。目前，全县湿地面积稳定在4万亩，湿地率保持在2.3%。</w:t>
      </w:r>
    </w:p>
    <w:p w14:paraId="6D7272E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（二）资源保护全面强化，生态安全坚如磐石</w:t>
      </w:r>
    </w:p>
    <w:p w14:paraId="1D32B0E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1.林长制改革走深走实</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构建了覆盖县、镇、村三级的林长组织体系，共设立林长</w:t>
      </w:r>
      <w:r>
        <w:rPr>
          <w:rFonts w:hint="eastAsia" w:ascii="Times New Roman" w:hAnsi="Times New Roman" w:eastAsia="仿宋_GB2312" w:cs="仿宋_GB2312"/>
          <w:sz w:val="32"/>
          <w:szCs w:val="32"/>
          <w:lang w:val="en-US" w:eastAsia="zh-CN"/>
        </w:rPr>
        <w:t>874</w:t>
      </w:r>
      <w:r>
        <w:rPr>
          <w:rFonts w:hint="eastAsia" w:ascii="Times New Roman" w:hAnsi="Times New Roman" w:eastAsia="仿宋_GB2312" w:cs="仿宋_GB2312"/>
          <w:sz w:val="32"/>
          <w:szCs w:val="32"/>
        </w:rPr>
        <w:t>名（县级</w:t>
      </w:r>
      <w:r>
        <w:rPr>
          <w:rFonts w:hint="eastAsia" w:ascii="Times New Roman" w:hAnsi="Times New Roman" w:eastAsia="仿宋_GB2312" w:cs="仿宋_GB2312"/>
          <w:sz w:val="32"/>
          <w:szCs w:val="32"/>
          <w:lang w:val="en-US" w:eastAsia="zh-CN"/>
        </w:rPr>
        <w:t>13</w:t>
      </w:r>
      <w:r>
        <w:rPr>
          <w:rFonts w:hint="eastAsia" w:ascii="Times New Roman" w:hAnsi="Times New Roman" w:eastAsia="仿宋_GB2312" w:cs="仿宋_GB2312"/>
          <w:sz w:val="32"/>
          <w:szCs w:val="32"/>
        </w:rPr>
        <w:t>名、镇级</w:t>
      </w:r>
      <w:r>
        <w:rPr>
          <w:rFonts w:hint="eastAsia" w:ascii="Times New Roman" w:hAnsi="Times New Roman" w:eastAsia="仿宋_GB2312" w:cs="仿宋_GB2312"/>
          <w:sz w:val="32"/>
          <w:szCs w:val="32"/>
          <w:lang w:val="en-US" w:eastAsia="zh-CN"/>
        </w:rPr>
        <w:t>95</w:t>
      </w:r>
      <w:r>
        <w:rPr>
          <w:rFonts w:hint="eastAsia" w:ascii="Times New Roman" w:hAnsi="Times New Roman" w:eastAsia="仿宋_GB2312" w:cs="仿宋_GB2312"/>
          <w:sz w:val="32"/>
          <w:szCs w:val="32"/>
        </w:rPr>
        <w:t>名、村级</w:t>
      </w:r>
      <w:r>
        <w:rPr>
          <w:rFonts w:hint="eastAsia" w:ascii="Times New Roman" w:hAnsi="Times New Roman" w:eastAsia="仿宋_GB2312" w:cs="仿宋_GB2312"/>
          <w:sz w:val="32"/>
          <w:szCs w:val="32"/>
          <w:lang w:val="en-US" w:eastAsia="zh-CN"/>
        </w:rPr>
        <w:t>766</w:t>
      </w:r>
      <w:r>
        <w:rPr>
          <w:rFonts w:hint="eastAsia" w:ascii="Times New Roman" w:hAnsi="Times New Roman" w:eastAsia="仿宋_GB2312" w:cs="仿宋_GB2312"/>
          <w:sz w:val="32"/>
          <w:szCs w:val="32"/>
        </w:rPr>
        <w:t>名）。创新建立“巡林督查+智慧巡检”机制，68名生态护林员对15.72万亩重点公益林实现了“有碑牌、有大门、有范围、有记录”的“四有”精细化管理。2022年，我县林长制工作考核位列全市第二，先进经验获省委《山西信息》专题报道。</w:t>
      </w:r>
    </w:p>
    <w:p w14:paraId="7980703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2.</w:t>
      </w:r>
      <w:r>
        <w:rPr>
          <w:rFonts w:hint="eastAsia" w:ascii="Times New Roman" w:hAnsi="Times New Roman" w:eastAsia="仿宋_GB2312" w:cs="仿宋_GB2312"/>
          <w:b/>
          <w:bCs/>
          <w:sz w:val="32"/>
          <w:szCs w:val="32"/>
          <w:lang w:eastAsia="zh-CN"/>
        </w:rPr>
        <w:t>生态保护</w:t>
      </w:r>
      <w:r>
        <w:rPr>
          <w:rFonts w:hint="eastAsia" w:ascii="Times New Roman" w:hAnsi="Times New Roman" w:eastAsia="仿宋_GB2312" w:cs="仿宋_GB2312"/>
          <w:b/>
          <w:bCs/>
          <w:sz w:val="32"/>
          <w:szCs w:val="32"/>
        </w:rPr>
        <w:t>能力显著增强</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五年累计投入</w:t>
      </w:r>
      <w:r>
        <w:rPr>
          <w:rFonts w:hint="eastAsia" w:ascii="Times New Roman" w:hAnsi="Times New Roman" w:eastAsia="仿宋_GB2312" w:cs="仿宋_GB2312"/>
          <w:sz w:val="32"/>
          <w:szCs w:val="32"/>
          <w:lang w:eastAsia="zh-CN"/>
        </w:rPr>
        <w:t>森林防火</w:t>
      </w:r>
      <w:r>
        <w:rPr>
          <w:rFonts w:hint="eastAsia" w:ascii="Times New Roman" w:hAnsi="Times New Roman" w:eastAsia="仿宋_GB2312" w:cs="仿宋_GB2312"/>
          <w:sz w:val="32"/>
          <w:szCs w:val="32"/>
        </w:rPr>
        <w:t>专项资金超过1</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00万元。物力上，新建瞭望塔1</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座、防火检查站</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0处，新建和修缮防火通道</w:t>
      </w:r>
      <w:r>
        <w:rPr>
          <w:rFonts w:hint="eastAsia" w:ascii="Times New Roman" w:hAnsi="Times New Roman" w:eastAsia="仿宋_GB2312" w:cs="仿宋_GB2312"/>
          <w:sz w:val="32"/>
          <w:szCs w:val="32"/>
          <w:lang w:val="en-US" w:eastAsia="zh-CN"/>
        </w:rPr>
        <w:t>56.7</w:t>
      </w:r>
      <w:r>
        <w:rPr>
          <w:rFonts w:hint="eastAsia" w:ascii="Times New Roman" w:hAnsi="Times New Roman" w:eastAsia="仿宋_GB2312" w:cs="仿宋_GB2312"/>
          <w:sz w:val="32"/>
          <w:szCs w:val="32"/>
        </w:rPr>
        <w:t>公里，修复水毁通道</w:t>
      </w:r>
      <w:r>
        <w:rPr>
          <w:rFonts w:hint="eastAsia" w:ascii="Times New Roman" w:hAnsi="Times New Roman" w:eastAsia="仿宋_GB2312" w:cs="仿宋_GB2312"/>
          <w:sz w:val="32"/>
          <w:szCs w:val="32"/>
          <w:lang w:val="en-US" w:eastAsia="zh-CN"/>
        </w:rPr>
        <w:t>22.9</w:t>
      </w:r>
      <w:r>
        <w:rPr>
          <w:rFonts w:hint="eastAsia" w:ascii="Times New Roman" w:hAnsi="Times New Roman" w:eastAsia="仿宋_GB2312" w:cs="仿宋_GB2312"/>
          <w:sz w:val="32"/>
          <w:szCs w:val="32"/>
        </w:rPr>
        <w:t>公里，形成了较为完善的防火阻隔网络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更换湿地保护宣传牌匾11块，进一步提升了基础设施</w:t>
      </w:r>
      <w:r>
        <w:rPr>
          <w:rFonts w:hint="eastAsia" w:ascii="Times New Roman" w:hAnsi="Times New Roman" w:eastAsia="仿宋_GB2312" w:cs="仿宋_GB2312"/>
          <w:sz w:val="32"/>
          <w:szCs w:val="32"/>
        </w:rPr>
        <w:t>。人防上，组建了</w:t>
      </w:r>
      <w:r>
        <w:rPr>
          <w:rFonts w:hint="eastAsia" w:ascii="Times New Roman" w:hAnsi="Times New Roman" w:eastAsia="仿宋_GB2312" w:cs="仿宋_GB2312"/>
          <w:sz w:val="32"/>
          <w:szCs w:val="32"/>
          <w:lang w:val="en-US" w:eastAsia="zh-CN"/>
        </w:rPr>
        <w:t>105人的</w:t>
      </w:r>
      <w:r>
        <w:rPr>
          <w:rFonts w:hint="eastAsia" w:ascii="Times New Roman" w:hAnsi="Times New Roman" w:eastAsia="仿宋_GB2312" w:cs="仿宋_GB2312"/>
          <w:sz w:val="32"/>
          <w:szCs w:val="32"/>
        </w:rPr>
        <w:t>专业化森林消防</w:t>
      </w:r>
      <w:r>
        <w:rPr>
          <w:rFonts w:hint="eastAsia" w:ascii="Times New Roman" w:hAnsi="Times New Roman" w:eastAsia="仿宋_GB2312" w:cs="仿宋_GB2312"/>
          <w:sz w:val="32"/>
          <w:szCs w:val="32"/>
          <w:lang w:eastAsia="zh-CN"/>
        </w:rPr>
        <w:t>队伍</w:t>
      </w:r>
      <w:r>
        <w:rPr>
          <w:rFonts w:hint="eastAsia" w:ascii="Times New Roman" w:hAnsi="Times New Roman" w:eastAsia="仿宋_GB2312" w:cs="仿宋_GB2312"/>
          <w:sz w:val="32"/>
          <w:szCs w:val="32"/>
        </w:rPr>
        <w:t>，建立了“3个督察组”的常态化督查机制。</w:t>
      </w:r>
      <w:r>
        <w:rPr>
          <w:rFonts w:hint="eastAsia" w:ascii="Times New Roman" w:hAnsi="Times New Roman" w:eastAsia="仿宋_GB2312" w:cs="仿宋_GB2312"/>
          <w:sz w:val="32"/>
          <w:szCs w:val="32"/>
          <w:lang w:eastAsia="zh-CN"/>
        </w:rPr>
        <w:t>技防上，</w:t>
      </w:r>
      <w:r>
        <w:rPr>
          <w:rFonts w:hint="eastAsia" w:ascii="Times New Roman" w:hAnsi="Times New Roman" w:eastAsia="仿宋_GB2312" w:cs="仿宋_GB2312"/>
          <w:sz w:val="32"/>
          <w:szCs w:val="32"/>
          <w:lang w:val="en-US" w:eastAsia="zh-CN"/>
        </w:rPr>
        <w:t>利用森林防火特险期、爱鸟周等重要时间节点，开展各类定点宣传、冬季“敲门行动”、自然教育进校园等活动，发放各类生态保护宣传用品35万余份，</w:t>
      </w:r>
      <w:r>
        <w:rPr>
          <w:rFonts w:hint="eastAsia" w:ascii="Times New Roman" w:hAnsi="Times New Roman" w:eastAsia="仿宋_GB2312" w:cs="仿宋_GB2312"/>
          <w:sz w:val="32"/>
          <w:szCs w:val="32"/>
        </w:rPr>
        <w:t>推送防火短信120万条，出动LED宣传车50余次，</w:t>
      </w:r>
      <w:r>
        <w:rPr>
          <w:rFonts w:hint="eastAsia" w:ascii="Times New Roman" w:hAnsi="Times New Roman" w:eastAsia="仿宋_GB2312" w:cs="仿宋_GB2312"/>
          <w:sz w:val="32"/>
          <w:szCs w:val="32"/>
          <w:lang w:eastAsia="zh-CN"/>
        </w:rPr>
        <w:t>探索无人机森林防火巡护，全省森林草原防火管理和业务能力提升现场培训会在我县召开，省林草局发文在全省推广我县经验，</w:t>
      </w:r>
      <w:r>
        <w:rPr>
          <w:rFonts w:hint="eastAsia" w:ascii="Times New Roman" w:hAnsi="Times New Roman" w:eastAsia="仿宋_GB2312" w:cs="仿宋_GB2312"/>
          <w:sz w:val="32"/>
          <w:szCs w:val="32"/>
        </w:rPr>
        <w:t>全民</w:t>
      </w:r>
      <w:r>
        <w:rPr>
          <w:rFonts w:hint="eastAsia" w:ascii="Times New Roman" w:hAnsi="Times New Roman" w:eastAsia="仿宋_GB2312" w:cs="仿宋_GB2312"/>
          <w:sz w:val="32"/>
          <w:szCs w:val="32"/>
          <w:lang w:eastAsia="zh-CN"/>
        </w:rPr>
        <w:t>生态保护</w:t>
      </w:r>
      <w:r>
        <w:rPr>
          <w:rFonts w:hint="eastAsia" w:ascii="Times New Roman" w:hAnsi="Times New Roman" w:eastAsia="仿宋_GB2312" w:cs="仿宋_GB2312"/>
          <w:sz w:val="32"/>
          <w:szCs w:val="32"/>
        </w:rPr>
        <w:t>意识普遍提高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“十四五”期间全县未发生重大以上森林火灾。</w:t>
      </w:r>
    </w:p>
    <w:p w14:paraId="02629B3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（三）民生福祉持续改善，改革创新激发活力</w:t>
      </w:r>
    </w:p>
    <w:p w14:paraId="165D3F8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1.惠民政策精准落地</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严格落实森林生态效益补偿制度，五年累计发放永久性公益林补偿资金</w:t>
      </w:r>
      <w:r>
        <w:rPr>
          <w:rFonts w:hint="eastAsia" w:ascii="Times New Roman" w:hAnsi="Times New Roman" w:eastAsia="仿宋_GB2312" w:cs="仿宋_GB2312"/>
          <w:sz w:val="32"/>
          <w:szCs w:val="32"/>
          <w:lang w:val="en-US" w:eastAsia="zh-CN"/>
        </w:rPr>
        <w:t>573.09</w:t>
      </w:r>
      <w:r>
        <w:rPr>
          <w:rFonts w:hint="eastAsia" w:ascii="Times New Roman" w:hAnsi="Times New Roman" w:eastAsia="仿宋_GB2312" w:cs="仿宋_GB2312"/>
          <w:sz w:val="32"/>
          <w:szCs w:val="32"/>
        </w:rPr>
        <w:t>万元，惠及</w:t>
      </w:r>
      <w:r>
        <w:rPr>
          <w:rFonts w:hint="eastAsia" w:ascii="Times New Roman" w:hAnsi="Times New Roman" w:eastAsia="仿宋_GB2312" w:cs="仿宋_GB2312"/>
          <w:sz w:val="32"/>
          <w:szCs w:val="32"/>
          <w:lang w:val="en-US" w:eastAsia="zh-CN"/>
        </w:rPr>
        <w:t>8镇</w:t>
      </w:r>
      <w:r>
        <w:rPr>
          <w:rFonts w:hint="eastAsia" w:ascii="Times New Roman" w:hAnsi="Times New Roman" w:eastAsia="仿宋_GB2312" w:cs="仿宋_GB2312"/>
          <w:sz w:val="32"/>
          <w:szCs w:val="32"/>
        </w:rPr>
        <w:t>59个行政村、2200余户林农。圆满完成2017年新一轮退耕还林延长期补助政策兑现，2025年发放退耕还林补贴</w:t>
      </w:r>
      <w:r>
        <w:rPr>
          <w:rFonts w:hint="default" w:ascii="Times New Roman" w:hAnsi="Times New Roman" w:eastAsia="仿宋_GB2312" w:cs="仿宋_GB2312"/>
          <w:sz w:val="32"/>
          <w:szCs w:val="32"/>
          <w:lang w:val="en-US" w:eastAsia="zh-CN"/>
        </w:rPr>
        <w:t>39.97</w:t>
      </w:r>
      <w:r>
        <w:rPr>
          <w:rFonts w:hint="eastAsia" w:ascii="Times New Roman" w:hAnsi="Times New Roman" w:eastAsia="仿宋_GB2312" w:cs="仿宋_GB2312"/>
          <w:sz w:val="32"/>
          <w:szCs w:val="32"/>
        </w:rPr>
        <w:t>万元，涉及面积</w:t>
      </w:r>
      <w:r>
        <w:rPr>
          <w:rFonts w:hint="eastAsia" w:ascii="Times New Roman" w:hAnsi="Times New Roman" w:eastAsia="仿宋_GB2312" w:cs="仿宋_GB2312"/>
          <w:sz w:val="32"/>
          <w:szCs w:val="32"/>
          <w:lang w:val="en-US" w:eastAsia="zh-CN"/>
        </w:rPr>
        <w:t>3997.23</w:t>
      </w:r>
      <w:r>
        <w:rPr>
          <w:rFonts w:hint="eastAsia" w:ascii="Times New Roman" w:hAnsi="Times New Roman" w:eastAsia="仿宋_GB2312" w:cs="仿宋_GB2312"/>
          <w:sz w:val="32"/>
          <w:szCs w:val="32"/>
        </w:rPr>
        <w:t>亩，有效保障了农户的合法权益。</w:t>
      </w:r>
    </w:p>
    <w:p w14:paraId="5F2338E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2.</w:t>
      </w:r>
      <w:r>
        <w:rPr>
          <w:rFonts w:hint="eastAsia" w:ascii="Times New Roman" w:hAnsi="Times New Roman" w:eastAsia="仿宋_GB2312" w:cs="仿宋_GB2312"/>
          <w:b/>
          <w:bCs/>
          <w:sz w:val="32"/>
          <w:szCs w:val="32"/>
        </w:rPr>
        <w:t>生态价值转化初见成效</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前瞻性布局林业碳汇工作，与中林集团等央企开展战略合作，启动了林业资产数字化与碳汇项目开发的前期研究。在全国县级层面率先编制生态文明乡土教材，并在2所幼儿园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4所中小学</w:t>
      </w:r>
      <w:r>
        <w:rPr>
          <w:rFonts w:hint="eastAsia" w:ascii="Times New Roman" w:hAnsi="Times New Roman" w:eastAsia="仿宋_GB2312" w:cs="仿宋_GB2312"/>
          <w:sz w:val="32"/>
          <w:szCs w:val="32"/>
        </w:rPr>
        <w:t>试点开展自然教育，将生态文明的种子播撒进下一代心中，相关经验做法走在全国前列。</w:t>
      </w:r>
    </w:p>
    <w:p w14:paraId="66BFFE2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二、存在的问题与挑战</w:t>
      </w:r>
    </w:p>
    <w:p w14:paraId="253DB3B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（一）体制机制障碍依然突出</w:t>
      </w:r>
    </w:p>
    <w:p w14:paraId="59E6B7B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1.人员力量与职能划转严重不匹配</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机构改革后，县林业局向自然资源局、应急管理局</w:t>
      </w:r>
      <w:r>
        <w:rPr>
          <w:rFonts w:hint="eastAsia" w:ascii="Times New Roman" w:hAnsi="Times New Roman" w:eastAsia="仿宋_GB2312" w:cs="仿宋_GB2312"/>
          <w:sz w:val="32"/>
          <w:szCs w:val="32"/>
          <w:lang w:eastAsia="zh-CN"/>
        </w:rPr>
        <w:t>、行政审批局、公安局</w:t>
      </w:r>
      <w:r>
        <w:rPr>
          <w:rFonts w:hint="eastAsia" w:ascii="Times New Roman" w:hAnsi="Times New Roman" w:eastAsia="仿宋_GB2312" w:cs="仿宋_GB2312"/>
          <w:sz w:val="32"/>
          <w:szCs w:val="32"/>
        </w:rPr>
        <w:t>等部门划转业务骨干17人，但仅从其他部门接收1人。与此同时，</w:t>
      </w:r>
      <w:r>
        <w:rPr>
          <w:rFonts w:hint="eastAsia" w:ascii="Times New Roman" w:hAnsi="Times New Roman" w:eastAsia="仿宋_GB2312" w:cs="仿宋_GB2312"/>
          <w:sz w:val="32"/>
          <w:szCs w:val="32"/>
          <w:lang w:eastAsia="zh-CN"/>
        </w:rPr>
        <w:t>不但</w:t>
      </w:r>
      <w:r>
        <w:rPr>
          <w:rFonts w:hint="eastAsia" w:ascii="Times New Roman" w:hAnsi="Times New Roman" w:eastAsia="仿宋_GB2312" w:cs="仿宋_GB2312"/>
          <w:sz w:val="32"/>
          <w:szCs w:val="32"/>
        </w:rPr>
        <w:t>新增了草原草地、风景名胜区、地质遗迹等多项管理职能，</w:t>
      </w:r>
      <w:r>
        <w:rPr>
          <w:rFonts w:hint="eastAsia" w:ascii="Times New Roman" w:hAnsi="Times New Roman" w:eastAsia="仿宋_GB2312" w:cs="仿宋_GB2312"/>
          <w:sz w:val="32"/>
          <w:szCs w:val="32"/>
          <w:lang w:eastAsia="zh-CN"/>
        </w:rPr>
        <w:t>将管理面积增加一倍达全县国土面积近一半，而且已经划转出去的行政审批、森林防火、林权改革、林草执法等职能目前基本全部回归，人员不足</w:t>
      </w:r>
      <w:r>
        <w:rPr>
          <w:rFonts w:hint="eastAsia" w:ascii="Times New Roman" w:hAnsi="Times New Roman" w:eastAsia="仿宋_GB2312" w:cs="仿宋_GB2312"/>
          <w:sz w:val="32"/>
          <w:szCs w:val="32"/>
        </w:rPr>
        <w:t>“小马拉大车”的矛盾异常突出。</w:t>
      </w:r>
    </w:p>
    <w:p w14:paraId="1CF11B6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2.执法体系效能有待提升</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林业行政执法权</w:t>
      </w:r>
      <w:r>
        <w:rPr>
          <w:rFonts w:hint="eastAsia" w:ascii="Times New Roman" w:hAnsi="Times New Roman" w:eastAsia="仿宋_GB2312" w:cs="仿宋_GB2312"/>
          <w:sz w:val="32"/>
          <w:szCs w:val="32"/>
          <w:lang w:eastAsia="zh-CN"/>
        </w:rPr>
        <w:t>经历了划转至</w:t>
      </w:r>
      <w:r>
        <w:rPr>
          <w:rFonts w:hint="eastAsia" w:ascii="Times New Roman" w:hAnsi="Times New Roman" w:eastAsia="仿宋_GB2312" w:cs="仿宋_GB2312"/>
          <w:sz w:val="32"/>
          <w:szCs w:val="32"/>
        </w:rPr>
        <w:t>自然资源局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下放至乡镇</w:t>
      </w:r>
      <w:r>
        <w:rPr>
          <w:rFonts w:hint="eastAsia" w:ascii="Times New Roman" w:hAnsi="Times New Roman" w:eastAsia="仿宋_GB2312" w:cs="仿宋_GB2312"/>
          <w:sz w:val="32"/>
          <w:szCs w:val="32"/>
          <w:lang w:eastAsia="zh-CN"/>
        </w:rPr>
        <w:t>、回归林业局的曲折过程</w:t>
      </w:r>
      <w:r>
        <w:rPr>
          <w:rFonts w:hint="eastAsia" w:ascii="Times New Roman" w:hAnsi="Times New Roman" w:eastAsia="仿宋_GB2312" w:cs="仿宋_GB2312"/>
          <w:sz w:val="32"/>
          <w:szCs w:val="32"/>
        </w:rPr>
        <w:t>，出现了执法“真空”和“推诿”现象</w:t>
      </w:r>
      <w:r>
        <w:rPr>
          <w:rFonts w:hint="eastAsia" w:ascii="Times New Roman" w:hAnsi="Times New Roman" w:eastAsia="仿宋_GB2312" w:cs="仿宋_GB2312"/>
          <w:sz w:val="32"/>
          <w:szCs w:val="32"/>
          <w:lang w:eastAsia="zh-CN"/>
        </w:rPr>
        <w:t>，面临新</w:t>
      </w:r>
      <w:r>
        <w:rPr>
          <w:rFonts w:hint="eastAsia" w:ascii="Times New Roman" w:hAnsi="Times New Roman" w:eastAsia="仿宋_GB2312" w:cs="仿宋_GB2312"/>
          <w:sz w:val="32"/>
          <w:szCs w:val="32"/>
        </w:rPr>
        <w:t>执法队伍</w:t>
      </w:r>
      <w:r>
        <w:rPr>
          <w:rFonts w:hint="eastAsia" w:ascii="Times New Roman" w:hAnsi="Times New Roman" w:eastAsia="仿宋_GB2312" w:cs="仿宋_GB2312"/>
          <w:sz w:val="32"/>
          <w:szCs w:val="32"/>
          <w:lang w:eastAsia="zh-CN"/>
        </w:rPr>
        <w:t>人员、</w:t>
      </w:r>
      <w:r>
        <w:rPr>
          <w:rFonts w:hint="eastAsia" w:ascii="Times New Roman" w:hAnsi="Times New Roman" w:eastAsia="仿宋_GB2312" w:cs="仿宋_GB2312"/>
          <w:sz w:val="32"/>
          <w:szCs w:val="32"/>
        </w:rPr>
        <w:t>专业知识和</w:t>
      </w:r>
      <w:r>
        <w:rPr>
          <w:rFonts w:hint="eastAsia" w:ascii="Times New Roman" w:hAnsi="Times New Roman" w:eastAsia="仿宋_GB2312" w:cs="仿宋_GB2312"/>
          <w:sz w:val="32"/>
          <w:szCs w:val="32"/>
          <w:lang w:eastAsia="zh-CN"/>
        </w:rPr>
        <w:t>工作</w:t>
      </w:r>
      <w:r>
        <w:rPr>
          <w:rFonts w:hint="eastAsia" w:ascii="Times New Roman" w:hAnsi="Times New Roman" w:eastAsia="仿宋_GB2312" w:cs="仿宋_GB2312"/>
          <w:sz w:val="32"/>
          <w:szCs w:val="32"/>
        </w:rPr>
        <w:t>经验</w:t>
      </w:r>
      <w:r>
        <w:rPr>
          <w:rFonts w:hint="eastAsia" w:ascii="Times New Roman" w:hAnsi="Times New Roman" w:eastAsia="仿宋_GB2312" w:cs="仿宋_GB2312"/>
          <w:sz w:val="32"/>
          <w:szCs w:val="32"/>
          <w:lang w:eastAsia="zh-CN"/>
        </w:rPr>
        <w:t>严重</w:t>
      </w:r>
      <w:r>
        <w:rPr>
          <w:rFonts w:hint="eastAsia" w:ascii="Times New Roman" w:hAnsi="Times New Roman" w:eastAsia="仿宋_GB2312" w:cs="仿宋_GB2312"/>
          <w:sz w:val="32"/>
          <w:szCs w:val="32"/>
        </w:rPr>
        <w:t>不足</w:t>
      </w:r>
      <w:r>
        <w:rPr>
          <w:rFonts w:hint="eastAsia" w:ascii="Times New Roman" w:hAnsi="Times New Roman" w:eastAsia="仿宋_GB2312" w:cs="仿宋_GB2312"/>
          <w:sz w:val="32"/>
          <w:szCs w:val="32"/>
          <w:lang w:eastAsia="zh-CN"/>
        </w:rPr>
        <w:t>问题</w:t>
      </w:r>
      <w:r>
        <w:rPr>
          <w:rFonts w:hint="eastAsia" w:ascii="Times New Roman" w:hAnsi="Times New Roman" w:eastAsia="仿宋_GB2312" w:cs="仿宋_GB2312"/>
          <w:sz w:val="32"/>
          <w:szCs w:val="32"/>
        </w:rPr>
        <w:t>，涉林案件</w:t>
      </w:r>
      <w:r>
        <w:rPr>
          <w:rFonts w:hint="eastAsia" w:ascii="Times New Roman" w:hAnsi="Times New Roman" w:eastAsia="仿宋_GB2312" w:cs="仿宋_GB2312"/>
          <w:sz w:val="32"/>
          <w:szCs w:val="32"/>
          <w:lang w:eastAsia="zh-CN"/>
        </w:rPr>
        <w:t>办理推进缓慢，行政执法案件规范化办理水平亟待提升</w:t>
      </w:r>
      <w:r>
        <w:rPr>
          <w:rFonts w:hint="eastAsia" w:ascii="Times New Roman" w:hAnsi="Times New Roman" w:eastAsia="仿宋_GB2312" w:cs="仿宋_GB2312"/>
          <w:sz w:val="32"/>
          <w:szCs w:val="32"/>
        </w:rPr>
        <w:t>。</w:t>
      </w:r>
    </w:p>
    <w:p w14:paraId="08470EF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（二）生态建设短板亟待补齐</w:t>
      </w:r>
    </w:p>
    <w:p w14:paraId="36E3D45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1.森林资源总量不足</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全县森林覆盖率仅为</w:t>
      </w:r>
      <w:r>
        <w:rPr>
          <w:rFonts w:hint="eastAsia" w:ascii="Times New Roman" w:hAnsi="Times New Roman" w:eastAsia="仿宋_GB2312" w:cs="仿宋_GB2312"/>
          <w:sz w:val="32"/>
          <w:szCs w:val="32"/>
          <w:lang w:val="en-US" w:eastAsia="zh-CN"/>
        </w:rPr>
        <w:t>10.82</w:t>
      </w:r>
      <w:r>
        <w:rPr>
          <w:rFonts w:hint="eastAsia" w:ascii="Times New Roman" w:hAnsi="Times New Roman" w:eastAsia="仿宋_GB2312" w:cs="仿宋_GB2312"/>
          <w:sz w:val="32"/>
          <w:szCs w:val="32"/>
        </w:rPr>
        <w:t>%，远低于23.57%的全省平均水平。尚有</w:t>
      </w:r>
      <w:r>
        <w:rPr>
          <w:rFonts w:hint="eastAsia" w:ascii="Times New Roman" w:hAnsi="Times New Roman" w:eastAsia="仿宋_GB2312" w:cs="仿宋_GB2312"/>
          <w:sz w:val="32"/>
          <w:szCs w:val="32"/>
          <w:lang w:eastAsia="zh-CN"/>
        </w:rPr>
        <w:t>近</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万</w:t>
      </w:r>
      <w:r>
        <w:rPr>
          <w:rFonts w:hint="eastAsia" w:ascii="Times New Roman" w:hAnsi="Times New Roman" w:eastAsia="仿宋_GB2312" w:cs="仿宋_GB2312"/>
          <w:sz w:val="32"/>
          <w:szCs w:val="32"/>
        </w:rPr>
        <w:t>公顷的宜林地和大量低质低效灌木林地需要改造，后续绿化空间立地条件差、造林成本高，巩固绿化成果的难度持续加大。</w:t>
      </w:r>
    </w:p>
    <w:p w14:paraId="0BEA01E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2.基础设施存在薄弱环节</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东部林区仍存在瞭望盲区，西部林区防火通道密度仅为0.3公里/万亩，低于全省标准。林业有害生物防治工作受制于审批程序，往往错过最佳防治时机，松阿扁叶蜂、侧柏叶枯病等病虫害年均发生面积超过5000亩，2022年不得不投入156万元进行应急防治。</w:t>
      </w:r>
    </w:p>
    <w:p w14:paraId="1EDFFC4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（三）产业融合发展深度不够</w:t>
      </w:r>
    </w:p>
    <w:p w14:paraId="5E36F98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1.林下经济质量效益不高</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现有林下种植多以出售原材料为主，缺乏精深加工企业和知名品牌，产品附加值低。森林旅游、康养、自然教育以及碳汇交易等新业态仍处于探索起步阶段，碳汇开发仅完成前期调研，尚未形成实质性的经济效益。</w:t>
      </w:r>
    </w:p>
    <w:p w14:paraId="2B13088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2.保护与发展的矛盾依然存在</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随着光伏发电、高速公路等重大项目落地，林地需求与生态保护红线之间的冲突日益加剧。2023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2024年，林地审批</w:t>
      </w:r>
      <w:r>
        <w:rPr>
          <w:rFonts w:hint="eastAsia" w:ascii="Times New Roman" w:hAnsi="Times New Roman" w:eastAsia="仿宋_GB2312" w:cs="仿宋_GB2312"/>
          <w:sz w:val="32"/>
          <w:szCs w:val="32"/>
          <w:lang w:eastAsia="zh-CN"/>
        </w:rPr>
        <w:t>工作</w:t>
      </w:r>
      <w:r>
        <w:rPr>
          <w:rFonts w:hint="eastAsia" w:ascii="Times New Roman" w:hAnsi="Times New Roman" w:eastAsia="仿宋_GB2312" w:cs="仿宋_GB2312"/>
          <w:sz w:val="32"/>
          <w:szCs w:val="32"/>
        </w:rPr>
        <w:t>问题影响</w:t>
      </w:r>
      <w:r>
        <w:rPr>
          <w:rFonts w:hint="eastAsia" w:ascii="Times New Roman" w:hAnsi="Times New Roman" w:eastAsia="仿宋_GB2312" w:cs="仿宋_GB2312"/>
          <w:sz w:val="32"/>
          <w:szCs w:val="32"/>
          <w:lang w:eastAsia="zh-CN"/>
        </w:rPr>
        <w:t>到了</w:t>
      </w:r>
      <w:r>
        <w:rPr>
          <w:rFonts w:hint="eastAsia" w:ascii="Times New Roman" w:hAnsi="Times New Roman" w:eastAsia="仿宋_GB2312" w:cs="仿宋_GB2312"/>
          <w:sz w:val="32"/>
          <w:szCs w:val="32"/>
        </w:rPr>
        <w:t>招商引资项目</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落地。此外，封山禁牧措施执行难度大，牛羊啃食导致约10%的新造林地成活率下降。</w:t>
      </w:r>
    </w:p>
    <w:p w14:paraId="0227EF2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仿宋" w:cs="国标仿宋"/>
          <w:sz w:val="32"/>
          <w:szCs w:val="32"/>
        </w:rPr>
      </w:pPr>
    </w:p>
    <w:p w14:paraId="26E19FD1">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Times New Roman" w:hAnsi="Times New Roman" w:eastAsia="国标黑体" w:cs="国标黑体"/>
          <w:sz w:val="32"/>
          <w:szCs w:val="32"/>
          <w:lang w:eastAsia="zh-CN"/>
        </w:rPr>
      </w:pPr>
      <w:r>
        <w:rPr>
          <w:rFonts w:hint="eastAsia" w:ascii="Times New Roman" w:hAnsi="Times New Roman" w:eastAsia="国标黑体" w:cs="国标黑体"/>
          <w:sz w:val="32"/>
          <w:szCs w:val="32"/>
          <w:lang w:eastAsia="zh-CN"/>
        </w:rPr>
        <w:t>第二章</w:t>
      </w:r>
      <w:r>
        <w:rPr>
          <w:rFonts w:hint="eastAsia" w:ascii="Times New Roman" w:hAnsi="Times New Roman" w:eastAsia="国标黑体" w:cs="国标黑体"/>
          <w:sz w:val="32"/>
          <w:szCs w:val="32"/>
          <w:lang w:val="en-US" w:eastAsia="zh-CN"/>
        </w:rPr>
        <w:t xml:space="preserve"> </w:t>
      </w:r>
      <w:r>
        <w:rPr>
          <w:rFonts w:hint="eastAsia" w:ascii="Times New Roman" w:hAnsi="Times New Roman" w:eastAsia="国标黑体" w:cs="国标黑体"/>
          <w:sz w:val="32"/>
          <w:szCs w:val="32"/>
          <w:lang w:eastAsia="zh-CN"/>
        </w:rPr>
        <w:t>2025年工作总结</w:t>
      </w:r>
    </w:p>
    <w:p w14:paraId="5CAC845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仿宋" w:cs="国标仿宋"/>
          <w:sz w:val="32"/>
          <w:szCs w:val="32"/>
          <w:lang w:eastAsia="zh-CN"/>
        </w:rPr>
      </w:pPr>
      <w:r>
        <w:rPr>
          <w:rFonts w:hint="eastAsia" w:ascii="Times New Roman" w:hAnsi="Times New Roman" w:eastAsia="国标仿宋" w:cs="国标仿宋"/>
          <w:sz w:val="32"/>
          <w:szCs w:val="32"/>
          <w:lang w:eastAsia="zh-CN"/>
        </w:rPr>
        <w:t xml:space="preserve"> </w:t>
      </w:r>
    </w:p>
    <w:p w14:paraId="2D93D07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xml:space="preserve">2025年，县林业局在县委、县政府的坚强领导下，紧扣年度考核任务，扎实推进各项工作，生态建设、资源保护、产业发展等领域取得阶段性成效。 </w:t>
      </w:r>
    </w:p>
    <w:p w14:paraId="030F332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黑体" w:cs="国标黑体"/>
          <w:sz w:val="32"/>
          <w:szCs w:val="32"/>
          <w:lang w:eastAsia="zh-CN"/>
        </w:rPr>
      </w:pPr>
      <w:r>
        <w:rPr>
          <w:rFonts w:hint="eastAsia" w:ascii="Times New Roman" w:hAnsi="Times New Roman" w:eastAsia="国标黑体" w:cs="国标黑体"/>
          <w:sz w:val="32"/>
          <w:szCs w:val="32"/>
          <w:lang w:eastAsia="zh-CN"/>
        </w:rPr>
        <w:t>一、重点工作完成情况</w:t>
      </w:r>
    </w:p>
    <w:p w14:paraId="201D22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（一）国土绿化攻坚成效显著。</w:t>
      </w:r>
      <w:r>
        <w:rPr>
          <w:rFonts w:hint="eastAsia" w:ascii="Times New Roman" w:hAnsi="Times New Roman" w:eastAsia="仿宋_GB2312" w:cs="仿宋_GB2312"/>
          <w:sz w:val="32"/>
          <w:szCs w:val="32"/>
          <w:lang w:eastAsia="zh-CN"/>
        </w:rPr>
        <w:t>聚焦“绿满襄垣”目标，有序推进造林绿化各项任务。截至目前，太行山生态保护和修复重点、</w:t>
      </w:r>
      <w:r>
        <w:rPr>
          <w:rFonts w:hint="eastAsia" w:ascii="Times New Roman" w:hAnsi="Times New Roman" w:eastAsia="仿宋_GB2312" w:cs="仿宋_GB2312"/>
          <w:sz w:val="32"/>
          <w:szCs w:val="32"/>
          <w:lang w:val="en-US" w:eastAsia="zh-CN"/>
        </w:rPr>
        <w:t>环京津冀生态安全屏障建设、太行山中南段革命老区（襄垣县）国土绿化示范等</w:t>
      </w:r>
      <w:r>
        <w:rPr>
          <w:rFonts w:hint="eastAsia" w:ascii="Times New Roman" w:hAnsi="Times New Roman" w:eastAsia="仿宋_GB2312" w:cs="仿宋_GB2312"/>
          <w:sz w:val="32"/>
          <w:szCs w:val="32"/>
          <w:lang w:eastAsia="zh-CN"/>
        </w:rPr>
        <w:t>项目有序推进，已完成人工造林1.53万亩；封山育林3万亩；退化林修复1.79万亩；中央财政古树名木保护4株任务已全部竣工；省级财政森林乡村建设奖补项目涉及2村均通过市级初验；全县义务植树累计完成超过18000株年度目标。</w:t>
      </w:r>
    </w:p>
    <w:p w14:paraId="69818B4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（二）森林资源安全防线牢固。</w:t>
      </w:r>
      <w:r>
        <w:rPr>
          <w:rFonts w:hint="eastAsia" w:ascii="Times New Roman" w:hAnsi="Times New Roman" w:eastAsia="仿宋_GB2312" w:cs="仿宋_GB2312"/>
          <w:sz w:val="32"/>
          <w:szCs w:val="32"/>
          <w:lang w:eastAsia="zh-CN"/>
        </w:rPr>
        <w:t>强化林场资源常态化巡查，累计开展巡护8900余次、巡护里程300公里，严厉打击盗伐滥伐林木、非法破坏林草地等行为，全年未发生重大林草地案件，实现“零发生”目标。高质量推进森林抚育，严格按照项目管理及检查验收办法实施，完成省级专项森林抚育3000亩、省级统筹森林抚育3500亩，6500亩年度任务已全部竣工并通过县级验收。</w:t>
      </w:r>
    </w:p>
    <w:p w14:paraId="467102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（三）应急基础设施持续完善。</w:t>
      </w:r>
      <w:r>
        <w:rPr>
          <w:rFonts w:hint="eastAsia" w:ascii="Times New Roman" w:hAnsi="Times New Roman" w:eastAsia="仿宋_GB2312" w:cs="仿宋_GB2312"/>
          <w:sz w:val="32"/>
          <w:szCs w:val="32"/>
          <w:lang w:eastAsia="zh-CN"/>
        </w:rPr>
        <w:t>提升森林火灾防控能力，重点实施王桥、善福两镇防火道路延伸建设，新增纵向分支道路4.2公里；在古韩防火通道沿线新建蓄水池7座，有效降低火灾承载风险。为全县9个镇配备防火车辆17辆，充分发挥移动宣传、动态巡查和应急扑救作用。同步启动森林防火“十五五”规划编制前期调研，低空经济与预警体系融合建设已完成可行性论证。</w:t>
      </w:r>
    </w:p>
    <w:p w14:paraId="67A349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（四）自然保护地管理提质增效。</w:t>
      </w:r>
      <w:r>
        <w:rPr>
          <w:rFonts w:hint="eastAsia" w:ascii="Times New Roman" w:hAnsi="Times New Roman" w:eastAsia="仿宋_GB2312" w:cs="仿宋_GB2312"/>
          <w:sz w:val="32"/>
          <w:szCs w:val="32"/>
          <w:lang w:eastAsia="zh-CN"/>
        </w:rPr>
        <w:t>扎实开展生物多样性保护工作，全年救助野生动物十余只，救助成功率达90%；三漳湿地公园瞭望塔已完成主体工程及设备安装，进入调试阶段；湿地公园本底资源调查正在进行，为保护利用野生动植物资源奠定基础。</w:t>
      </w:r>
    </w:p>
    <w:p w14:paraId="74E965F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黑体" w:cs="国标黑体"/>
          <w:sz w:val="32"/>
          <w:szCs w:val="32"/>
          <w:lang w:eastAsia="zh-CN"/>
        </w:rPr>
      </w:pPr>
      <w:r>
        <w:rPr>
          <w:rFonts w:hint="eastAsia" w:ascii="Times New Roman" w:hAnsi="Times New Roman" w:eastAsia="国标黑体" w:cs="国标黑体"/>
          <w:sz w:val="32"/>
          <w:szCs w:val="32"/>
          <w:lang w:eastAsia="zh-CN"/>
        </w:rPr>
        <w:t>二、工作亮点</w:t>
      </w:r>
    </w:p>
    <w:p w14:paraId="46E6F27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科技防火体系建设走在前列，通过多项措施提升预警救援能力，构建立体化防控网络，火灾处置响应时间显著缩短，并获得省级认可。</w:t>
      </w:r>
    </w:p>
    <w:p w14:paraId="23F1EE5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（一）具体建设措施</w:t>
      </w:r>
    </w:p>
    <w:p w14:paraId="41ABF7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1.预警监控系统升级。</w:t>
      </w:r>
      <w:r>
        <w:rPr>
          <w:rFonts w:hint="eastAsia" w:ascii="Times New Roman" w:hAnsi="Times New Roman" w:eastAsia="仿宋_GB2312" w:cs="仿宋_GB2312"/>
          <w:sz w:val="32"/>
          <w:szCs w:val="32"/>
          <w:lang w:eastAsia="zh-CN"/>
        </w:rPr>
        <w:t>一是全县布控预警监控探头20个，包括热成像探头15个和高清探头5个。二是在全县24座通电的瞭望塔安装球体摄像头、音柱喇叭、警示障碍灯等配套设施，通过APP实现语音和图像实时回传。</w:t>
      </w:r>
    </w:p>
    <w:p w14:paraId="351CB8F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2.基础设施增强。</w:t>
      </w:r>
      <w:r>
        <w:rPr>
          <w:rFonts w:hint="eastAsia" w:ascii="Times New Roman" w:hAnsi="Times New Roman" w:eastAsia="仿宋_GB2312" w:cs="仿宋_GB2312"/>
          <w:sz w:val="32"/>
          <w:szCs w:val="32"/>
          <w:lang w:eastAsia="zh-CN"/>
        </w:rPr>
        <w:t>在古韩防火通道沿线新建蓄水池7座，使全县应急取水点总数达29座，有效降低火灾承载风险。</w:t>
      </w:r>
    </w:p>
    <w:p w14:paraId="07D4A4F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3.移动设备配备。</w:t>
      </w:r>
      <w:r>
        <w:rPr>
          <w:rFonts w:hint="eastAsia" w:ascii="Times New Roman" w:hAnsi="Times New Roman" w:eastAsia="仿宋_GB2312" w:cs="仿宋_GB2312"/>
          <w:sz w:val="32"/>
          <w:szCs w:val="32"/>
          <w:lang w:eastAsia="zh-CN"/>
        </w:rPr>
        <w:t>一是为全县9镇1林场配备防火车辆17台，同时为县森林消防大队补充运兵车5辆、指挥车1辆，用于移动宣传、动态巡查和应急扑救。二是全县布设具备火点识别、烟雾识别AI功能的机舱式无人机22处，其中7处主要用于重点林区森林防火监测。三是为各镇和国有林场配备大疆4T行业版无人机11架。</w:t>
      </w:r>
    </w:p>
    <w:p w14:paraId="7CFD89B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（二）体系整合与成效</w:t>
      </w:r>
    </w:p>
    <w:p w14:paraId="5B20810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1.巡查体系优化。</w:t>
      </w:r>
      <w:r>
        <w:rPr>
          <w:rFonts w:hint="eastAsia" w:ascii="Times New Roman" w:hAnsi="Times New Roman" w:eastAsia="仿宋_GB2312" w:cs="仿宋_GB2312"/>
          <w:sz w:val="32"/>
          <w:szCs w:val="32"/>
          <w:lang w:eastAsia="zh-CN"/>
        </w:rPr>
        <w:t>一是通过优化整合，布设62条巡查路线，每日巡检超过60架/次，巡林面积24.16万亩，实现重点林区全覆盖。二是在防火特险期和极端天气条件下，22处无人机可统一按照预设的120条航线同时开展全方位巡查，实现全县域覆盖。</w:t>
      </w:r>
    </w:p>
    <w:p w14:paraId="1FD90DE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2.立体化防控网络构建。</w:t>
      </w:r>
      <w:r>
        <w:rPr>
          <w:rFonts w:hint="eastAsia" w:ascii="Times New Roman" w:hAnsi="Times New Roman" w:eastAsia="仿宋_GB2312" w:cs="仿宋_GB2312"/>
          <w:sz w:val="32"/>
          <w:szCs w:val="32"/>
          <w:lang w:eastAsia="zh-CN"/>
        </w:rPr>
        <w:t>依托防火车辆配备与低空预警谋划，构建“地面巡护+车辆巡查+空中预警”的立体化防控网络。</w:t>
      </w:r>
    </w:p>
    <w:p w14:paraId="4FE3026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3.成效与认可。</w:t>
      </w:r>
      <w:r>
        <w:rPr>
          <w:rFonts w:hint="eastAsia" w:ascii="Times New Roman" w:hAnsi="Times New Roman" w:eastAsia="仿宋_GB2312" w:cs="仿宋_GB2312"/>
          <w:sz w:val="32"/>
          <w:szCs w:val="32"/>
          <w:lang w:eastAsia="zh-CN"/>
        </w:rPr>
        <w:t>火灾处置响应时间较2024年缩短40%。全省森林草原防火管理和业务能力提升现场培训会在我县召开，省林草局发文在全省推广我县经验。</w:t>
      </w:r>
    </w:p>
    <w:p w14:paraId="10ED8D4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黑体" w:cs="国标黑体"/>
          <w:sz w:val="32"/>
          <w:szCs w:val="32"/>
          <w:lang w:eastAsia="zh-CN"/>
        </w:rPr>
      </w:pPr>
      <w:r>
        <w:rPr>
          <w:rFonts w:hint="eastAsia" w:ascii="Times New Roman" w:hAnsi="Times New Roman" w:eastAsia="国标黑体" w:cs="国标黑体"/>
          <w:sz w:val="32"/>
          <w:szCs w:val="32"/>
          <w:lang w:eastAsia="zh-CN"/>
        </w:rPr>
        <w:t>三、存在的问题与差距</w:t>
      </w:r>
    </w:p>
    <w:p w14:paraId="6BDA277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（一）造林绿化后期管护力度不足。</w:t>
      </w:r>
      <w:r>
        <w:rPr>
          <w:rFonts w:hint="eastAsia" w:ascii="Times New Roman" w:hAnsi="Times New Roman" w:eastAsia="仿宋_GB2312" w:cs="仿宋_GB2312"/>
          <w:sz w:val="32"/>
          <w:szCs w:val="32"/>
          <w:lang w:eastAsia="zh-CN"/>
        </w:rPr>
        <w:t>部分新造林地因管护不到位出现幼苗成活率偏低问题，长效管护机制仍需完善。</w:t>
      </w:r>
    </w:p>
    <w:p w14:paraId="4D405D6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（二）林下经济产业链条较短。</w:t>
      </w:r>
      <w:r>
        <w:rPr>
          <w:rFonts w:hint="eastAsia" w:ascii="Times New Roman" w:hAnsi="Times New Roman" w:eastAsia="仿宋_GB2312" w:cs="仿宋_GB2312"/>
          <w:sz w:val="32"/>
          <w:szCs w:val="32"/>
          <w:lang w:eastAsia="zh-CN"/>
        </w:rPr>
        <w:t>龙头企业带动能力有限，产品深加工环节薄弱，产业融合度有待进一步提升。</w:t>
      </w:r>
    </w:p>
    <w:p w14:paraId="0904A8B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（三）应急预警科技化水平不高。</w:t>
      </w:r>
      <w:r>
        <w:rPr>
          <w:rFonts w:hint="eastAsia" w:ascii="Times New Roman" w:hAnsi="Times New Roman" w:eastAsia="仿宋_GB2312" w:cs="仿宋_GB2312"/>
          <w:sz w:val="32"/>
          <w:szCs w:val="32"/>
          <w:lang w:eastAsia="zh-CN"/>
        </w:rPr>
        <w:t>低空经济与预警系统的融合应用仍处于起步阶段，专业技术人才短缺制约发展。</w:t>
      </w:r>
    </w:p>
    <w:p w14:paraId="42FECB37">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xml:space="preserve"> </w:t>
      </w:r>
    </w:p>
    <w:p w14:paraId="50895F07">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w:t>
      </w:r>
      <w:r>
        <w:rPr>
          <w:rFonts w:hint="eastAsia" w:ascii="Times New Roman" w:hAnsi="Times New Roman" w:eastAsia="国标黑体" w:cs="国标黑体"/>
          <w:sz w:val="32"/>
          <w:szCs w:val="32"/>
          <w:lang w:eastAsia="zh-CN"/>
        </w:rPr>
        <w:t>三</w:t>
      </w:r>
      <w:r>
        <w:rPr>
          <w:rFonts w:hint="eastAsia" w:ascii="Times New Roman" w:hAnsi="Times New Roman" w:eastAsia="国标黑体" w:cs="国标黑体"/>
          <w:sz w:val="32"/>
          <w:szCs w:val="32"/>
        </w:rPr>
        <w:t>章 “十五五”时期林业发展形势与总体方略</w:t>
      </w:r>
    </w:p>
    <w:p w14:paraId="3C7D7C6C">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Times New Roman" w:hAnsi="Times New Roman" w:eastAsia="国标黑体" w:cs="国标黑体"/>
          <w:sz w:val="32"/>
          <w:szCs w:val="32"/>
        </w:rPr>
      </w:pPr>
    </w:p>
    <w:p w14:paraId="10373FE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一、发展形势分析</w:t>
      </w:r>
    </w:p>
    <w:p w14:paraId="7A08134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（一）重大战略机遇</w:t>
      </w:r>
    </w:p>
    <w:p w14:paraId="7C5B116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1.政策红利集中释放。</w:t>
      </w:r>
      <w:r>
        <w:rPr>
          <w:rFonts w:hint="eastAsia" w:ascii="Times New Roman" w:hAnsi="Times New Roman" w:eastAsia="仿宋_GB2312" w:cs="仿宋_GB2312"/>
          <w:sz w:val="32"/>
          <w:szCs w:val="32"/>
          <w:lang w:eastAsia="zh-CN"/>
        </w:rPr>
        <w:t>国家“双碳”战略的深入实施，为林业碳汇发展提供了广阔空间。山西省全面推进“三北”工程攻坚战和深化集体林权制度改革，将在项目、资金、政策上给予我县更大支持。长治市作为全省林改先行市，我县可借此东风，在关键领域实现突破。</w:t>
      </w:r>
    </w:p>
    <w:p w14:paraId="2D208E1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2.社会需求持续升级。</w:t>
      </w:r>
      <w:r>
        <w:rPr>
          <w:rFonts w:hint="eastAsia" w:ascii="Times New Roman" w:hAnsi="Times New Roman" w:eastAsia="仿宋_GB2312" w:cs="仿宋_GB2312"/>
          <w:sz w:val="32"/>
          <w:szCs w:val="32"/>
          <w:lang w:eastAsia="zh-CN"/>
        </w:rPr>
        <w:t>随着居民收入水平提高，对清新空气、清洁水源、舒适环境等优质生态产品的需求日益迫切，森林康养、生态旅游、自然教育等正成为新的消费增长点，为我县林业产业转型升级提供了巨大市场。</w:t>
      </w:r>
    </w:p>
    <w:p w14:paraId="2896172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3.科技支撑日益强大。</w:t>
      </w:r>
      <w:r>
        <w:rPr>
          <w:rFonts w:hint="eastAsia" w:ascii="Times New Roman" w:hAnsi="Times New Roman" w:eastAsia="仿宋_GB2312" w:cs="仿宋_GB2312"/>
          <w:sz w:val="32"/>
          <w:szCs w:val="32"/>
          <w:lang w:eastAsia="zh-CN"/>
        </w:rPr>
        <w:t>卫星遥感、无人机、5G、大数据、物联网等现代信息技术加速创新，并与林业深度融合，为构建“智慧林业”、提升林业治理体系和治理能力现代化水平提供了强大工具。</w:t>
      </w:r>
    </w:p>
    <w:p w14:paraId="1E9EE03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（二）面临风险挑战</w:t>
      </w:r>
    </w:p>
    <w:p w14:paraId="7566735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全球气候变化导致雨带北移、极端天气事件频发，生态建设、生态保护、生态管理均面临新的风险挑战。经济下行压力可能影响各级财政对林业的投入。此外，改革进入深水区，触及更深层次的利益调整，林权纠纷调处、历史遗留问题化解的难度加大。</w:t>
      </w:r>
    </w:p>
    <w:p w14:paraId="54CCDF3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二、指导思想</w:t>
      </w:r>
    </w:p>
    <w:p w14:paraId="2CA1EEF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坚持以习近平生态文明思想为根本遵循，全面贯彻党的二十大及二十届三中、四中全会精神，牢固树立和践行“绿水青山就是金山银山”理念，以推动林业高质量发展为主题，以深化集体林权制度改革为根本动力，以“底数清、基础牢、生态美、产业兴、百姓富、管得好”为工作主线，坚持“生态优先、绿色发展，改革引领、创新驱动，产业融合、富民增收，政府引导、市场主导，科技赋能、智慧管理”基本原则，统筹高水平保护与高质量发展，全力构建制度完善、结构合理、功能完备、效益显著的现代林业体系，推动美丽襄垣、绿色转型、生态富民林业现代化工作迈出坚实步伐。</w:t>
      </w:r>
    </w:p>
    <w:p w14:paraId="1A9E41E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lang w:eastAsia="zh-CN"/>
        </w:rPr>
        <w:t>三</w:t>
      </w:r>
      <w:r>
        <w:rPr>
          <w:rFonts w:hint="eastAsia" w:ascii="Times New Roman" w:hAnsi="Times New Roman" w:eastAsia="国标黑体" w:cs="国标黑体"/>
          <w:sz w:val="32"/>
          <w:szCs w:val="32"/>
        </w:rPr>
        <w:t>、发展目标（到2030年）</w:t>
      </w:r>
    </w:p>
    <w:p w14:paraId="1B1CE47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rPr>
        <w:t>（一）生态建设目标</w:t>
      </w:r>
      <w:r>
        <w:rPr>
          <w:rFonts w:hint="eastAsia" w:ascii="Times New Roman" w:hAnsi="Times New Roman" w:eastAsia="楷体_GB2312" w:cs="楷体_GB2312"/>
          <w:sz w:val="32"/>
          <w:szCs w:val="32"/>
          <w:lang w:eastAsia="zh-CN"/>
        </w:rPr>
        <w:t>。</w:t>
      </w:r>
      <w:r>
        <w:rPr>
          <w:rFonts w:hint="eastAsia" w:ascii="Times New Roman" w:hAnsi="Times New Roman" w:eastAsia="仿宋_GB2312" w:cs="仿宋_GB2312"/>
          <w:sz w:val="32"/>
          <w:szCs w:val="32"/>
          <w:lang w:eastAsia="zh-CN"/>
        </w:rPr>
        <w:t>森林覆盖率提升至1</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%以上，森林蓄积量增长15%。湿地保护率稳定在85%以上，自然保护地管理体系更加健全。完成2万亩宜林荒山绿化，创建</w:t>
      </w:r>
      <w:r>
        <w:rPr>
          <w:rFonts w:hint="eastAsia" w:ascii="Times New Roman" w:hAnsi="Times New Roman" w:eastAsia="仿宋_GB2312" w:cs="仿宋_GB2312"/>
          <w:sz w:val="32"/>
          <w:szCs w:val="32"/>
          <w:lang w:val="en-US" w:eastAsia="zh-CN"/>
        </w:rPr>
        <w:t>15</w:t>
      </w:r>
      <w:r>
        <w:rPr>
          <w:rFonts w:hint="eastAsia" w:ascii="Times New Roman" w:hAnsi="Times New Roman" w:eastAsia="仿宋_GB2312" w:cs="仿宋_GB2312"/>
          <w:sz w:val="32"/>
          <w:szCs w:val="32"/>
          <w:lang w:eastAsia="zh-CN"/>
        </w:rPr>
        <w:t>个省级以上森林村庄，成功跻身省级森林城市行列。黑鹳等国家重点保护野生动物种群数量保持稳定并有所增长。</w:t>
      </w:r>
    </w:p>
    <w:p w14:paraId="37E6135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rPr>
        <w:t>（二）产业发展目标</w:t>
      </w:r>
      <w:r>
        <w:rPr>
          <w:rFonts w:hint="eastAsia" w:ascii="Times New Roman" w:hAnsi="Times New Roman" w:eastAsia="楷体_GB2312" w:cs="楷体_GB2312"/>
          <w:sz w:val="32"/>
          <w:szCs w:val="32"/>
          <w:lang w:eastAsia="zh-CN"/>
        </w:rPr>
        <w:t>。</w:t>
      </w:r>
      <w:r>
        <w:rPr>
          <w:rFonts w:hint="eastAsia" w:ascii="Times New Roman" w:hAnsi="Times New Roman" w:eastAsia="仿宋_GB2312" w:cs="仿宋_GB2312"/>
          <w:sz w:val="32"/>
          <w:szCs w:val="32"/>
          <w:lang w:eastAsia="zh-CN"/>
        </w:rPr>
        <w:t>林下经济经营面积达到3万亩，培育市级以上林业龙头企业3家。引领</w:t>
      </w:r>
      <w:r>
        <w:rPr>
          <w:rFonts w:hint="eastAsia" w:ascii="Times New Roman" w:hAnsi="Times New Roman" w:eastAsia="仿宋_GB2312" w:cs="仿宋_GB2312"/>
          <w:sz w:val="32"/>
          <w:szCs w:val="32"/>
          <w:lang w:val="en-US" w:eastAsia="zh-CN"/>
        </w:rPr>
        <w:t>15个森林村庄发展生态疗养、休闲体验林下经济景观利用产业。</w:t>
      </w:r>
      <w:r>
        <w:rPr>
          <w:rFonts w:hint="eastAsia" w:ascii="Times New Roman" w:hAnsi="Times New Roman" w:eastAsia="仿宋_GB2312" w:cs="仿宋_GB2312"/>
          <w:sz w:val="32"/>
          <w:szCs w:val="32"/>
          <w:lang w:eastAsia="zh-CN"/>
        </w:rPr>
        <w:t>林业产业总产值突破5亿元。完成10万亩林业碳汇项目开发，并实现首笔交易。</w:t>
      </w:r>
    </w:p>
    <w:p w14:paraId="456B15D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rPr>
        <w:t>（三）能力建设目标</w:t>
      </w:r>
      <w:r>
        <w:rPr>
          <w:rFonts w:hint="eastAsia" w:ascii="Times New Roman" w:hAnsi="Times New Roman" w:eastAsia="楷体_GB2312" w:cs="楷体_GB2312"/>
          <w:sz w:val="32"/>
          <w:szCs w:val="32"/>
          <w:lang w:eastAsia="zh-CN"/>
        </w:rPr>
        <w:t>。</w:t>
      </w:r>
      <w:r>
        <w:rPr>
          <w:rFonts w:hint="eastAsia" w:ascii="Times New Roman" w:hAnsi="Times New Roman" w:eastAsia="仿宋_GB2312" w:cs="仿宋_GB2312"/>
          <w:sz w:val="32"/>
          <w:szCs w:val="32"/>
          <w:lang w:eastAsia="zh-CN"/>
        </w:rPr>
        <w:t>林权纠纷化解率达到</w:t>
      </w:r>
      <w:r>
        <w:rPr>
          <w:rFonts w:hint="eastAsia" w:ascii="Times New Roman" w:hAnsi="Times New Roman" w:eastAsia="仿宋_GB2312" w:cs="仿宋_GB2312"/>
          <w:sz w:val="32"/>
          <w:szCs w:val="32"/>
          <w:lang w:val="en-US" w:eastAsia="zh-CN"/>
        </w:rPr>
        <w:t>70</w:t>
      </w:r>
      <w:r>
        <w:rPr>
          <w:rFonts w:hint="eastAsia" w:ascii="Times New Roman" w:hAnsi="Times New Roman" w:eastAsia="仿宋_GB2312" w:cs="仿宋_GB2312"/>
          <w:sz w:val="32"/>
          <w:szCs w:val="32"/>
          <w:lang w:eastAsia="zh-CN"/>
        </w:rPr>
        <w:t>%以上。林业行政执法案件办结率达到100%。将森林火灾受害率稳定控制在0.5‰以下，草原火灾受害率控制在</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‰以下。防火通道密度提升至0.5公里/万亩。</w:t>
      </w:r>
      <w:r>
        <w:rPr>
          <w:rFonts w:hint="eastAsia" w:ascii="Times New Roman" w:hAnsi="Times New Roman" w:eastAsia="仿宋_GB2312" w:cs="仿宋_GB2312"/>
          <w:sz w:val="32"/>
          <w:szCs w:val="32"/>
          <w:lang w:val="en-US" w:eastAsia="zh-CN"/>
        </w:rPr>
        <w:t>林业有害生物成灾率控制在3.5‰以下，林业有害生物无公害防治成效85%以上，林业有害生物监测信息上报率90%以上，确保不发生重大林草有害生物灾害。</w:t>
      </w:r>
    </w:p>
    <w:p w14:paraId="764DD75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rPr>
        <w:t>（四）民生改善目标</w:t>
      </w:r>
      <w:r>
        <w:rPr>
          <w:rFonts w:hint="eastAsia" w:ascii="Times New Roman" w:hAnsi="Times New Roman" w:eastAsia="楷体_GB2312" w:cs="楷体_GB2312"/>
          <w:sz w:val="32"/>
          <w:szCs w:val="32"/>
          <w:lang w:eastAsia="zh-CN"/>
        </w:rPr>
        <w:t>。</w:t>
      </w:r>
      <w:r>
        <w:rPr>
          <w:rFonts w:hint="eastAsia" w:ascii="Times New Roman" w:hAnsi="Times New Roman" w:eastAsia="仿宋_GB2312" w:cs="仿宋_GB2312"/>
          <w:sz w:val="32"/>
          <w:szCs w:val="32"/>
          <w:lang w:eastAsia="zh-CN"/>
        </w:rPr>
        <w:t>林业及相关产业提供稳定就业岗位800个以上。涉林农户人均年林业收入增加</w:t>
      </w:r>
      <w:r>
        <w:rPr>
          <w:rFonts w:hint="eastAsia" w:ascii="Times New Roman" w:hAnsi="Times New Roman" w:eastAsia="仿宋_GB2312" w:cs="仿宋_GB2312"/>
          <w:sz w:val="32"/>
          <w:szCs w:val="32"/>
          <w:lang w:val="en-US" w:eastAsia="zh-CN"/>
        </w:rPr>
        <w:t>0.8</w:t>
      </w:r>
      <w:r>
        <w:rPr>
          <w:rFonts w:hint="eastAsia" w:ascii="Times New Roman" w:hAnsi="Times New Roman" w:eastAsia="仿宋_GB2312" w:cs="仿宋_GB2312"/>
          <w:sz w:val="32"/>
          <w:szCs w:val="32"/>
          <w:lang w:eastAsia="zh-CN"/>
        </w:rPr>
        <w:t>万元以上。</w:t>
      </w:r>
    </w:p>
    <w:p w14:paraId="4ABDF61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国标黑体" w:cs="国标黑体"/>
          <w:sz w:val="32"/>
          <w:szCs w:val="32"/>
          <w:lang w:eastAsia="zh-CN"/>
        </w:rPr>
        <w:t>四、</w:t>
      </w:r>
      <w:r>
        <w:rPr>
          <w:rFonts w:hint="eastAsia" w:ascii="Times New Roman" w:hAnsi="Times New Roman" w:eastAsia="国标黑体" w:cs="国标黑体"/>
          <w:sz w:val="32"/>
          <w:szCs w:val="32"/>
        </w:rPr>
        <w:t>重点任务</w:t>
      </w:r>
    </w:p>
    <w:p w14:paraId="4314497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（一）</w:t>
      </w:r>
      <w:r>
        <w:rPr>
          <w:rFonts w:hint="eastAsia" w:ascii="Times New Roman" w:hAnsi="Times New Roman" w:eastAsia="楷体_GB2312" w:cs="楷体_GB2312"/>
          <w:sz w:val="32"/>
          <w:szCs w:val="32"/>
        </w:rPr>
        <w:t>底数清：深化林权改革，夯实数据底座</w:t>
      </w:r>
    </w:p>
    <w:p w14:paraId="2AC425F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val="en-US" w:eastAsia="zh-CN"/>
        </w:rPr>
        <w:t>1.</w:t>
      </w:r>
      <w:r>
        <w:rPr>
          <w:rFonts w:hint="eastAsia" w:ascii="Times New Roman" w:hAnsi="Times New Roman" w:eastAsia="仿宋_GB2312" w:cs="仿宋_GB2312"/>
          <w:b/>
          <w:bCs/>
          <w:sz w:val="32"/>
          <w:szCs w:val="32"/>
          <w:lang w:eastAsia="zh-CN"/>
        </w:rPr>
        <w:t>全力化解林权历史遗留问题。</w:t>
      </w:r>
      <w:r>
        <w:rPr>
          <w:rFonts w:hint="eastAsia" w:ascii="Times New Roman" w:hAnsi="Times New Roman" w:eastAsia="仿宋_GB2312" w:cs="仿宋_GB2312"/>
          <w:sz w:val="32"/>
          <w:szCs w:val="32"/>
          <w:lang w:eastAsia="zh-CN"/>
        </w:rPr>
        <w:t>一是成立由县委、县政府牵头，林业、自然资源、司法、信访等部门参与的林权纠纷调处专项工作组。建立“县－镇－村”三级联动调解机制，确保小事不出村、大事不出镇、难事县终结。力争到2027年底，将现存</w:t>
      </w:r>
      <w:r>
        <w:rPr>
          <w:rFonts w:hint="eastAsia" w:ascii="Times New Roman" w:hAnsi="Times New Roman" w:eastAsia="仿宋_GB2312" w:cs="仿宋_GB2312"/>
          <w:sz w:val="32"/>
          <w:szCs w:val="32"/>
          <w:lang w:val="en-US" w:eastAsia="zh-CN"/>
        </w:rPr>
        <w:t>30余</w:t>
      </w:r>
      <w:r>
        <w:rPr>
          <w:rFonts w:hint="eastAsia" w:ascii="Times New Roman" w:hAnsi="Times New Roman" w:eastAsia="仿宋_GB2312" w:cs="仿宋_GB2312"/>
          <w:sz w:val="32"/>
          <w:szCs w:val="32"/>
          <w:lang w:eastAsia="zh-CN"/>
        </w:rPr>
        <w:t>起历史林权纠纷基本化解完毕，化解率达到95%以上。二是深化集体林权“三权分置”改革，出台《襄垣县林地经营权流转管理办法》，规范流转合同、明确权益、保障收益。到2028年，全县培育家庭林场、林业专业合作社、股份合作林场等新型经营主体50家以上，推动林地适度规模经营。</w:t>
      </w:r>
    </w:p>
    <w:p w14:paraId="58C6671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val="en-US" w:eastAsia="zh-CN"/>
        </w:rPr>
        <w:t>2.</w:t>
      </w:r>
      <w:r>
        <w:rPr>
          <w:rFonts w:hint="eastAsia" w:ascii="Times New Roman" w:hAnsi="Times New Roman" w:eastAsia="仿宋_GB2312" w:cs="仿宋_GB2312"/>
          <w:b/>
          <w:bCs/>
          <w:sz w:val="32"/>
          <w:szCs w:val="32"/>
          <w:lang w:eastAsia="zh-CN"/>
        </w:rPr>
        <w:t>实施全域林业资源精准普查。</w:t>
      </w:r>
      <w:r>
        <w:rPr>
          <w:rFonts w:hint="eastAsia" w:ascii="Times New Roman" w:hAnsi="Times New Roman" w:eastAsia="仿宋_GB2312" w:cs="仿宋_GB2312"/>
          <w:sz w:val="32"/>
          <w:szCs w:val="32"/>
          <w:lang w:val="en-US" w:eastAsia="zh-CN"/>
        </w:rPr>
        <w:t>一是</w:t>
      </w:r>
      <w:r>
        <w:rPr>
          <w:rFonts w:hint="eastAsia" w:ascii="Times New Roman" w:hAnsi="Times New Roman" w:eastAsia="仿宋_GB2312" w:cs="仿宋_GB2312"/>
          <w:sz w:val="32"/>
          <w:szCs w:val="32"/>
          <w:lang w:eastAsia="zh-CN"/>
        </w:rPr>
        <w:t>在2025—2026年，开展县域林场林权确权专项调查，利用最新国土空间规划数据和遥感影像，精准落界林、草、湿地空间范围，建立“地块编号+权属信息+利用现状”的三维台账。二是在202</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lang w:eastAsia="zh-CN"/>
        </w:rPr>
        <w:t>202</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lang w:eastAsia="zh-CN"/>
        </w:rPr>
        <w:t>年，实施生物多样性系统性普查，重点调查太行山脉襄垣段的动植物资源，建立物种名录、分布图谱和栖息地档案。最终形成动态更新的“襄垣县林业资源一张图”数据库，为科学决策提供精准支撑。</w:t>
      </w:r>
    </w:p>
    <w:p w14:paraId="72C5E27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（二）</w:t>
      </w:r>
      <w:r>
        <w:rPr>
          <w:rFonts w:hint="eastAsia" w:ascii="Times New Roman" w:hAnsi="Times New Roman" w:eastAsia="楷体_GB2312" w:cs="楷体_GB2312"/>
          <w:sz w:val="32"/>
          <w:szCs w:val="32"/>
        </w:rPr>
        <w:t>基础牢：强化设施建设，筑牢发展支撑</w:t>
      </w:r>
    </w:p>
    <w:p w14:paraId="08D087E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val="en-US" w:eastAsia="zh-CN"/>
        </w:rPr>
        <w:t>3.</w:t>
      </w:r>
      <w:r>
        <w:rPr>
          <w:rFonts w:hint="eastAsia" w:ascii="Times New Roman" w:hAnsi="Times New Roman" w:eastAsia="仿宋_GB2312" w:cs="仿宋_GB2312"/>
          <w:b/>
          <w:bCs/>
          <w:sz w:val="32"/>
          <w:szCs w:val="32"/>
          <w:lang w:eastAsia="zh-CN"/>
        </w:rPr>
        <w:t>构建智慧林业“空天地”一体化监测体系。</w:t>
      </w:r>
      <w:r>
        <w:rPr>
          <w:rFonts w:hint="eastAsia" w:ascii="Times New Roman" w:hAnsi="Times New Roman" w:eastAsia="仿宋_GB2312" w:cs="仿宋_GB2312"/>
          <w:sz w:val="32"/>
          <w:szCs w:val="32"/>
          <w:lang w:eastAsia="zh-CN"/>
        </w:rPr>
        <w:t>一是推动5G通信网络向重点林区、自然保护地延伸覆盖。搭建襄垣县智慧林业指挥中心，对接山西省航空应急救援中心项目，协调解决编制、用地和资金，整合现有的卫星遥感监测、无人机自动巡护系统、地面红外相机和视频监控资源，建成覆盖全域的“智慧林业”平台，构建“空天地”一体化的感知网络。二是重点开发森林火情智能识别、病虫害早期诊断、资源动态变化监测等AI算法模块，实现从“人防”到“技防”的转变，为“底数清”提供强大的技术保障。</w:t>
      </w:r>
    </w:p>
    <w:p w14:paraId="395A987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color w:val="FF0000"/>
          <w:sz w:val="32"/>
          <w:szCs w:val="32"/>
          <w:lang w:eastAsia="zh-CN"/>
        </w:rPr>
      </w:pPr>
      <w:r>
        <w:rPr>
          <w:rFonts w:hint="eastAsia" w:ascii="Times New Roman" w:hAnsi="Times New Roman" w:eastAsia="仿宋_GB2312" w:cs="仿宋_GB2312"/>
          <w:b/>
          <w:bCs/>
          <w:sz w:val="32"/>
          <w:szCs w:val="32"/>
          <w:lang w:val="en-US" w:eastAsia="zh-CN"/>
        </w:rPr>
        <w:t>4.</w:t>
      </w:r>
      <w:r>
        <w:rPr>
          <w:rFonts w:hint="eastAsia" w:ascii="Times New Roman" w:hAnsi="Times New Roman" w:eastAsia="仿宋_GB2312" w:cs="仿宋_GB2312"/>
          <w:b/>
          <w:bCs/>
          <w:sz w:val="32"/>
          <w:szCs w:val="32"/>
          <w:lang w:eastAsia="zh-CN"/>
        </w:rPr>
        <w:t>提升森林防灭火综合能力。</w:t>
      </w:r>
      <w:r>
        <w:rPr>
          <w:rFonts w:hint="eastAsia" w:ascii="Times New Roman" w:hAnsi="Times New Roman" w:eastAsia="仿宋_GB2312" w:cs="仿宋_GB2312"/>
          <w:sz w:val="32"/>
          <w:szCs w:val="32"/>
          <w:lang w:eastAsia="zh-CN"/>
        </w:rPr>
        <w:t>以科技赋能与基础强化为双轮驱动，全面提升森林防灭火综合效能，我县相关工作已走在全省前列并形成可复制推广的先进经验。一是筑牢硬件根基，新建可容纳100人规模的标准化森林消防大队实训基地，配套建设体能训练区、模拟山林灭火演练场等四大功能区域，同时分批次购置30台（套）大型无人机灭火系统、高压串联水泵等先进装备，确保火情“打早、打小、打了”。二是深化科技应用，加快推进林草防灭火“一张图”建设，积极配置推广人工智能、红外探测、以水灭火等新技术新装备，全面提升早发现、早灭火、灭大火的科技化水平；完成巡护无人机全覆盖配置，有条件区域同步配备察打一体无人机，推广无人机巡护“人工手动+机巢自动”模式并开展自动机巢试点，力争“十五”期间实现全域覆盖，构建“空天地”一体化智慧防控体系。</w:t>
      </w:r>
      <w:r>
        <w:rPr>
          <w:rFonts w:hint="eastAsia" w:ascii="Times New Roman" w:hAnsi="Times New Roman" w:eastAsia="仿宋_GB2312" w:cs="仿宋_GB2312"/>
          <w:color w:val="auto"/>
          <w:sz w:val="32"/>
          <w:szCs w:val="32"/>
          <w:lang w:eastAsia="zh-CN"/>
        </w:rPr>
        <w:t>2026年重点谋划新建防火通道7公里，分别是王桥九尖山-古韩公墓1.2公里，善福东宁静-柏树庄2.3公里，善福凹坡-古韩东山3.5公里。防火通道升级改造15.5公里，分别是下良和坡-仙堂山后山2.3公里，善福洪洞脚-柏树庄7.8公里，王桥南偏桥-大黄岩5.4公里。</w:t>
      </w:r>
    </w:p>
    <w:p w14:paraId="1BE452B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（三）</w:t>
      </w:r>
      <w:r>
        <w:rPr>
          <w:rFonts w:hint="eastAsia" w:ascii="Times New Roman" w:hAnsi="Times New Roman" w:eastAsia="楷体_GB2312" w:cs="楷体_GB2312"/>
          <w:sz w:val="32"/>
          <w:szCs w:val="32"/>
        </w:rPr>
        <w:t>生态美：推进系统治理，打造美丽襄垣</w:t>
      </w:r>
    </w:p>
    <w:p w14:paraId="1737F29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val="en-US" w:eastAsia="zh-CN"/>
        </w:rPr>
        <w:t>5.</w:t>
      </w:r>
      <w:r>
        <w:rPr>
          <w:rFonts w:hint="eastAsia" w:ascii="Times New Roman" w:hAnsi="Times New Roman" w:eastAsia="仿宋_GB2312" w:cs="仿宋_GB2312"/>
          <w:b/>
          <w:bCs/>
          <w:sz w:val="32"/>
          <w:szCs w:val="32"/>
          <w:lang w:eastAsia="zh-CN"/>
        </w:rPr>
        <w:t>实施重大生态修复工程。</w:t>
      </w:r>
      <w:r>
        <w:rPr>
          <w:rFonts w:hint="eastAsia" w:ascii="Times New Roman" w:hAnsi="Times New Roman" w:eastAsia="仿宋_GB2312" w:cs="仿宋_GB2312"/>
          <w:sz w:val="32"/>
          <w:szCs w:val="32"/>
          <w:lang w:eastAsia="zh-CN"/>
        </w:rPr>
        <w:t>一是荒山绿化攻坚，积极融入国家“三北”防护林新一期工程建设，依托太行山绿化等重点项目，采取人工造林、飞播造林、封山育林、退化林修复等相结合的方式，攻坚完成2万亩宜林荒山绿化任务，优先选用油松、侧柏、辽东栎等乡土树种。二是水域生态治理，持续推进吴家庄水库环湖10公里生态景观带建设，种植垂柳、水杉等亲水树种，配套建设生态步道、观景平台，构建集水源涵养、水土保持、休闲观光于一体的绿色屏障。三是工矿区域修复，系统推进养殖场、煤矸石填埋场、非煤矿山及煤矿企业周边区域的生态修复，采用“乔木+灌木+草本”的立体配置模式，完成5000亩土地的复绿任务，改善区域生态环境。</w:t>
      </w:r>
    </w:p>
    <w:p w14:paraId="217DE2C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val="en-US" w:eastAsia="zh-CN"/>
        </w:rPr>
        <w:t>6.</w:t>
      </w:r>
      <w:r>
        <w:rPr>
          <w:rFonts w:hint="eastAsia" w:ascii="Times New Roman" w:hAnsi="Times New Roman" w:eastAsia="仿宋_GB2312" w:cs="仿宋_GB2312"/>
          <w:b/>
          <w:bCs/>
          <w:sz w:val="32"/>
          <w:szCs w:val="32"/>
          <w:lang w:eastAsia="zh-CN"/>
        </w:rPr>
        <w:t>开展全域绿化美化行动。</w:t>
      </w:r>
      <w:r>
        <w:rPr>
          <w:rFonts w:hint="eastAsia" w:ascii="Times New Roman" w:hAnsi="Times New Roman" w:eastAsia="仿宋_GB2312" w:cs="仿宋_GB2312"/>
          <w:sz w:val="32"/>
          <w:szCs w:val="32"/>
          <w:lang w:val="en-US" w:eastAsia="zh-CN"/>
        </w:rPr>
        <w:t>一是</w:t>
      </w:r>
      <w:r>
        <w:rPr>
          <w:rFonts w:hint="eastAsia" w:ascii="Times New Roman" w:hAnsi="Times New Roman" w:eastAsia="仿宋_GB2312" w:cs="仿宋_GB2312"/>
          <w:sz w:val="32"/>
          <w:szCs w:val="32"/>
          <w:lang w:eastAsia="zh-CN"/>
        </w:rPr>
        <w:t>乡村绿化，深入开展“四旁植树”（村旁、路旁、水旁、宅旁）和“五彩庭院”建设活动，计划创建省级以上森林村庄15个、市级以上森林人家30户，村庄绿化覆盖率提升至40%以上。二是城镇绿化，实施县城核心区、机关单位、中小学校园的绿化升级改造工程，见缝插绿、拆违建绿、垂直挂绿，五年新增绿地面积20万平方米。同时对国省道等主要通道的绿化进行提质管护，打造“四季有景、层次分明”的生态廊道。三是森林城市创建，全面启动省级森林城市申报工作，对标创建指标，补齐短板，力争在202</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lang w:eastAsia="zh-CN"/>
        </w:rPr>
        <w:t>年前完成达标建设任务。</w:t>
      </w:r>
    </w:p>
    <w:p w14:paraId="7E96DC6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（四）</w:t>
      </w:r>
      <w:r>
        <w:rPr>
          <w:rFonts w:hint="eastAsia" w:ascii="Times New Roman" w:hAnsi="Times New Roman" w:eastAsia="楷体_GB2312" w:cs="楷体_GB2312"/>
          <w:sz w:val="32"/>
          <w:szCs w:val="32"/>
        </w:rPr>
        <w:t>产业兴：培育绿色动能，壮大林业经济</w:t>
      </w:r>
    </w:p>
    <w:p w14:paraId="5738E30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b/>
          <w:bCs/>
          <w:sz w:val="32"/>
          <w:szCs w:val="32"/>
          <w:lang w:val="en-US" w:eastAsia="zh-CN"/>
        </w:rPr>
        <w:t>7.</w:t>
      </w:r>
      <w:r>
        <w:rPr>
          <w:rFonts w:hint="eastAsia" w:ascii="Times New Roman" w:hAnsi="Times New Roman" w:eastAsia="仿宋_GB2312" w:cs="仿宋_GB2312"/>
          <w:b/>
          <w:bCs/>
          <w:sz w:val="32"/>
          <w:szCs w:val="32"/>
          <w:lang w:eastAsia="zh-CN"/>
        </w:rPr>
        <w:t>推动林下经济规模化发展。</w:t>
      </w:r>
      <w:r>
        <w:rPr>
          <w:rFonts w:hint="eastAsia" w:ascii="Times New Roman" w:hAnsi="Times New Roman" w:eastAsia="仿宋_GB2312" w:cs="仿宋_GB2312"/>
          <w:color w:val="auto"/>
          <w:sz w:val="32"/>
          <w:szCs w:val="32"/>
          <w:lang w:eastAsia="zh-CN"/>
        </w:rPr>
        <w:t>聚焦基地培育核心，重点从以下三方面发力，打造特色鲜明、规模集聚的林下经济发展格局：一是打造林下中药材种植基地。依托森林资源丰富区域、耕地衔接草地、退耕还林实施地、撂荒地、通道绿化及森林村庄实施地，充分发挥供销社在农户与市场的联结纽带作业，大力推广“油松+柴胡”“核桃+党参”等高效复合经营模式。重点培育山西韩创农业科技有限公司中药材种植基地，引入智能化播种、采收机械设备，深化与山西农业大学的合作，共建道地药材种苗培育实验室，从源头保障药材品质。全力打造“襄垣连翘”“襄垣柴胡”“襄垣柏籽”等区域公共品牌，持续提升产品市场竞争力。二是打造林缘规模养殖基地。以养鸡、养猪为主导，兼顾养羊、养牛产业，发展现有林缘养殖场及新建养殖项目，打造标准化林缘规模养殖基地。开通林缘及林下各类养殖“绿色通道”，优化养殖场用地年度审核审批流程，持续壮大养殖规模、丰富养殖品类。三是打造林下特色养殖基地。在巩固生猪养殖优势基础上，推广“林禽”“林畜”生态养殖模式，完善“种养结合”体系，夯实规模化养殖产业根基。同时，重点培育史北养驴、上良养鹿等林下特色养殖场，同步发展林下养蜂、养鹅、养麝等特色品类，构建多元化生态养殖产业集群。</w:t>
      </w:r>
    </w:p>
    <w:p w14:paraId="158B95D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val="en-US" w:eastAsia="zh-CN"/>
        </w:rPr>
        <w:t>8.</w:t>
      </w:r>
      <w:r>
        <w:rPr>
          <w:rFonts w:hint="eastAsia" w:ascii="Times New Roman" w:hAnsi="Times New Roman" w:eastAsia="仿宋_GB2312" w:cs="仿宋_GB2312"/>
          <w:b/>
          <w:bCs/>
          <w:sz w:val="32"/>
          <w:szCs w:val="32"/>
          <w:lang w:eastAsia="zh-CN"/>
        </w:rPr>
        <w:t>促进生态文旅深度融合。</w:t>
      </w:r>
      <w:r>
        <w:rPr>
          <w:rFonts w:hint="eastAsia" w:ascii="Times New Roman" w:hAnsi="Times New Roman" w:eastAsia="仿宋_GB2312" w:cs="仿宋_GB2312"/>
          <w:sz w:val="32"/>
          <w:szCs w:val="32"/>
          <w:lang w:val="en-US" w:eastAsia="zh-CN"/>
        </w:rPr>
        <w:t>一是打造生态疗养与休闲体验基地。</w:t>
      </w:r>
      <w:r>
        <w:rPr>
          <w:rFonts w:hint="eastAsia" w:ascii="Times New Roman" w:hAnsi="Times New Roman" w:eastAsia="仿宋_GB2312" w:cs="仿宋_GB2312"/>
          <w:sz w:val="32"/>
          <w:szCs w:val="32"/>
          <w:lang w:eastAsia="zh-CN"/>
        </w:rPr>
        <w:t>重点打造仙堂山、三漳水育生态疗养基地，并培育八里庄村、南丰沟村、南里信村、东北阳村、临漳村、上良村、西邯郸村、强计村、西底村、红土坪村、建华村、丰曲村、南窑村、西石村、米坪村等村庄，推进慢生活休闲体验、生态旅游等项目，引领森林民宿、生态餐厅、研学教室、康养步道等配套设施同步完善。二是构建“生态+文旅”多元融合业态。打造集生态观光、自然教育、康养度假、会议会展于一体的“生态+文旅”融合业态。重点建设省级林业研学基地和1处生态会议中心，承接高端行业论坛，全面提升襄垣林业的知名度和影响力。</w:t>
      </w:r>
    </w:p>
    <w:p w14:paraId="2DC7448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（五）</w:t>
      </w:r>
      <w:r>
        <w:rPr>
          <w:rFonts w:hint="eastAsia" w:ascii="Times New Roman" w:hAnsi="Times New Roman" w:eastAsia="楷体_GB2312" w:cs="楷体_GB2312"/>
          <w:sz w:val="32"/>
          <w:szCs w:val="32"/>
        </w:rPr>
        <w:t>百姓富：完善利益联结，促进共同富裕</w:t>
      </w:r>
    </w:p>
    <w:p w14:paraId="344825D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val="en-US" w:eastAsia="zh-CN"/>
        </w:rPr>
        <w:t>9.</w:t>
      </w:r>
      <w:r>
        <w:rPr>
          <w:rFonts w:hint="eastAsia" w:ascii="Times New Roman" w:hAnsi="Times New Roman" w:eastAsia="仿宋_GB2312" w:cs="仿宋_GB2312"/>
          <w:b/>
          <w:bCs/>
          <w:sz w:val="32"/>
          <w:szCs w:val="32"/>
          <w:lang w:eastAsia="zh-CN"/>
        </w:rPr>
        <w:t>拓宽就业增收渠道。</w:t>
      </w:r>
      <w:r>
        <w:rPr>
          <w:rFonts w:hint="eastAsia" w:ascii="Times New Roman" w:hAnsi="Times New Roman" w:eastAsia="仿宋_GB2312" w:cs="仿宋_GB2312"/>
          <w:sz w:val="32"/>
          <w:szCs w:val="32"/>
          <w:lang w:eastAsia="zh-CN"/>
        </w:rPr>
        <w:t>一是围绕林业全产业链，精准开发林木抚育员、中药材技术员、森林管护员、民宿服务员等就业岗位800个以上，优先吸纳当地脱贫户、剩余劳动力就近就业。二是开发生态管护公益性岗位，聘请300名可信赖、有责任心的农户担任“森林管护员”，负责责任区的巡护、宣传。鼓励农户参与造林绿化工程，按工程量给予每亩100-200元的劳务补贴。</w:t>
      </w:r>
    </w:p>
    <w:p w14:paraId="017E6A4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国标仿宋" w:cs="国标仿宋"/>
          <w:b w:val="0"/>
          <w:bCs w:val="0"/>
          <w:sz w:val="32"/>
          <w:szCs w:val="32"/>
        </w:rPr>
      </w:pPr>
      <w:r>
        <w:rPr>
          <w:rFonts w:hint="eastAsia" w:ascii="Times New Roman" w:hAnsi="Times New Roman" w:eastAsia="仿宋_GB2312" w:cs="仿宋_GB2312"/>
          <w:b/>
          <w:bCs/>
          <w:sz w:val="32"/>
          <w:szCs w:val="32"/>
          <w:lang w:val="en-US" w:eastAsia="zh-CN"/>
        </w:rPr>
        <w:t>10.</w:t>
      </w:r>
      <w:r>
        <w:rPr>
          <w:rFonts w:hint="eastAsia" w:ascii="Times New Roman" w:hAnsi="Times New Roman" w:eastAsia="仿宋_GB2312" w:cs="仿宋_GB2312"/>
          <w:b/>
          <w:bCs/>
          <w:sz w:val="32"/>
          <w:szCs w:val="32"/>
          <w:lang w:eastAsia="zh-CN"/>
        </w:rPr>
        <w:t>强化金融保险赋能。</w:t>
      </w:r>
      <w:r>
        <w:rPr>
          <w:rFonts w:hint="eastAsia" w:ascii="Times New Roman" w:hAnsi="Times New Roman" w:eastAsia="仿宋_GB2312" w:cs="仿宋_GB2312"/>
          <w:sz w:val="32"/>
          <w:szCs w:val="32"/>
          <w:lang w:eastAsia="zh-CN"/>
        </w:rPr>
        <w:t>一是深化与金融机构合作，推广林权抵押贷款，将可抵押范围扩大至林地经营权、林木所有权，贷款期限延长至5～10年，利率在同期LPR基础上下调10%。县财政设立500万元林业产业发展贴息资金，降低经营主体融资成本。二是联合保险机构，在落实好森林保险、野生动物致害保险基础上，创新开发“林药种植保险”“特色养殖（梅花鹿、林麝）保险”等专属产品，县财政对参保农户给予50%的保费补贴，构建“信贷+保险”的风险防范体系。</w:t>
      </w:r>
    </w:p>
    <w:p w14:paraId="54F11B4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（六）</w:t>
      </w:r>
      <w:r>
        <w:rPr>
          <w:rFonts w:hint="eastAsia" w:ascii="Times New Roman" w:hAnsi="Times New Roman" w:eastAsia="楷体_GB2312" w:cs="楷体_GB2312"/>
          <w:sz w:val="32"/>
          <w:szCs w:val="32"/>
        </w:rPr>
        <w:t>管得好：创新治理机制，提升监管效能</w:t>
      </w:r>
    </w:p>
    <w:p w14:paraId="081848C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11.深化协同治理体系，提升林业综合管理效能。</w:t>
      </w:r>
      <w:r>
        <w:rPr>
          <w:rFonts w:hint="eastAsia" w:ascii="Times New Roman" w:hAnsi="Times New Roman" w:eastAsia="仿宋_GB2312" w:cs="仿宋_GB2312"/>
          <w:sz w:val="32"/>
          <w:szCs w:val="32"/>
          <w:lang w:val="en-US" w:eastAsia="zh-CN"/>
        </w:rPr>
        <w:t>以全面深化林长制为核心驱动，构建“三级林长统筹、多长协同联动、司法保障支撑”的系统化治理新格局。健全县、乡、村三级林长责任清单与履职规范体系，推动林长制与河湖长制、田长制在规划统筹、信息共享、执法联动等环节实现深度融合。创新建立“林长+警长+检察长+法官”常态化司法协作机制，对重大破坏森林资源案件实行联合督办与生态损害赔偿追索，形成强有力的法治保障体系。同步完善“县－乡－村－护林员”四级森林防火责任网络，完成10处重点林区检查站智能化改造与火情监测点升级工程，构建“人防+技防+物防”三位一体的综合防控体系。依托“智慧林业”平台建立林业病虫害“监测预警－精准防治－检疫监管”全链条防控机制，大力推广以虫治虫、以菌治虫等生物防治技术。将森林覆盖率、林地保有量等核心生态指标全面纳入镇村高质量发展生态审计范畴，通过强化考核问责推动治理责任落实落地。</w:t>
      </w:r>
    </w:p>
    <w:p w14:paraId="4F6A7C4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val="en-US" w:eastAsia="zh-CN"/>
        </w:rPr>
        <w:t>12.夯实生态安全基底，服务国家公园战略布局。</w:t>
      </w:r>
      <w:r>
        <w:rPr>
          <w:rFonts w:hint="eastAsia" w:ascii="Times New Roman" w:hAnsi="Times New Roman" w:eastAsia="仿宋_GB2312" w:cs="仿宋_GB2312"/>
          <w:b w:val="0"/>
          <w:bCs w:val="0"/>
          <w:sz w:val="32"/>
          <w:szCs w:val="32"/>
          <w:lang w:val="en-US" w:eastAsia="zh-CN"/>
        </w:rPr>
        <w:t>紧</w:t>
      </w:r>
      <w:r>
        <w:rPr>
          <w:rFonts w:hint="eastAsia" w:ascii="Times New Roman" w:hAnsi="Times New Roman" w:eastAsia="仿宋_GB2312" w:cs="仿宋_GB2312"/>
          <w:sz w:val="32"/>
          <w:szCs w:val="32"/>
          <w:lang w:val="en-US" w:eastAsia="zh-CN"/>
        </w:rPr>
        <w:t>扣太行山国家公园申报要求，按照“保护优先、科学利用”原则积极谋划和申报，推进韩王山、高皇山区域生态本底调查、生物多样性系统评估、森林公园建设等工作。其中，韩王山森林公园规划面积4万亩，西起韩村、东至肖家垛、南抵小堡底、北达东邯郸，区域内保存有完整的无人区生态系统和“韩山独秀”古八景自然遗产；高皇山森林公园规划面积2万亩，东起黎城界、西至狐燕窝、北临浊漳河、南达小黄岩，以主峰高皇垴为核心涵盖完整的原生植被带。通过实施植被恢复、生态步道建设与自然教育系统完善等工程，统筹生态涵养、休闲观光与康养服务功能，打造集生物多样性保护与绿色发展于一体的示范性生态载体。同时，针对北底游园湿地蓄水与吴家庄水库建设可能压缩黑鹳栖息地的问题，实施黑鹳种群动态与栖息地变迁专项监测，编制《黑鹳栖息地保护与修复专项规划》。考虑在浊漳河沿岸生态节点区域规划建设黑鹳栖息地国家级保护区，通过湿地地貌改造、浅滩营造、食物源补充、人工辅助筑巢及人类活动管控等系统性措施，确保黑鹳种群规模稳定与关键栖息地面积不缩减。强化现有保护地资源整合，严格管控国家公园候选区人类活动，全面提升区域在国家公园体系中的生态完整性与管理可行性，为太行山国家公园成功申报提供坚实支撑。</w:t>
      </w:r>
    </w:p>
    <w:p w14:paraId="1D7EC39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lang w:eastAsia="zh-CN"/>
        </w:rPr>
        <w:t>五、</w:t>
      </w:r>
      <w:r>
        <w:rPr>
          <w:rFonts w:hint="eastAsia" w:ascii="Times New Roman" w:hAnsi="Times New Roman" w:eastAsia="国标黑体" w:cs="国标黑体"/>
          <w:sz w:val="32"/>
          <w:szCs w:val="32"/>
        </w:rPr>
        <w:t>保障措施</w:t>
      </w:r>
    </w:p>
    <w:p w14:paraId="11A831D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（一）</w:t>
      </w:r>
      <w:r>
        <w:rPr>
          <w:rFonts w:hint="eastAsia" w:ascii="Times New Roman" w:hAnsi="Times New Roman" w:eastAsia="楷体_GB2312" w:cs="楷体_GB2312"/>
          <w:sz w:val="32"/>
          <w:szCs w:val="32"/>
        </w:rPr>
        <w:t>加强组织保障</w:t>
      </w:r>
      <w:r>
        <w:rPr>
          <w:rFonts w:hint="eastAsia" w:ascii="Times New Roman" w:hAnsi="Times New Roman" w:eastAsia="楷体_GB2312" w:cs="楷体_GB2312"/>
          <w:sz w:val="32"/>
          <w:szCs w:val="32"/>
          <w:lang w:eastAsia="zh-CN"/>
        </w:rPr>
        <w:t>。</w:t>
      </w:r>
      <w:r>
        <w:rPr>
          <w:rFonts w:hint="eastAsia" w:ascii="Times New Roman" w:hAnsi="Times New Roman" w:eastAsia="仿宋_GB2312" w:cs="仿宋_GB2312"/>
          <w:sz w:val="32"/>
          <w:szCs w:val="32"/>
          <w:lang w:eastAsia="zh-CN"/>
        </w:rPr>
        <w:t>成立由县委、县政府主要领导任双组长的“十五五”林业发展规划实施领导小组，统筹推进重大工程、协调解决重大问题。明确林业、发改、财政、自然资源、生态环境、农业农村、文旅、金融等部门的职责分工，建立“季度调度、年度评估、终期考核”的工作机制，确保规划任务落地见效。</w:t>
      </w:r>
    </w:p>
    <w:p w14:paraId="782AA65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（二）</w:t>
      </w:r>
      <w:r>
        <w:rPr>
          <w:rFonts w:hint="eastAsia" w:ascii="Times New Roman" w:hAnsi="Times New Roman" w:eastAsia="楷体_GB2312" w:cs="楷体_GB2312"/>
          <w:sz w:val="32"/>
          <w:szCs w:val="32"/>
        </w:rPr>
        <w:t>强化资金保障</w:t>
      </w:r>
      <w:r>
        <w:rPr>
          <w:rFonts w:hint="eastAsia" w:ascii="Times New Roman" w:hAnsi="Times New Roman" w:eastAsia="楷体_GB2312" w:cs="楷体_GB2312"/>
          <w:sz w:val="32"/>
          <w:szCs w:val="32"/>
          <w:lang w:eastAsia="zh-CN"/>
        </w:rPr>
        <w:t>。</w:t>
      </w:r>
      <w:r>
        <w:rPr>
          <w:rFonts w:hint="eastAsia" w:ascii="Times New Roman" w:hAnsi="Times New Roman" w:eastAsia="仿宋_GB2312" w:cs="仿宋_GB2312"/>
          <w:sz w:val="32"/>
          <w:szCs w:val="32"/>
          <w:lang w:eastAsia="zh-CN"/>
        </w:rPr>
        <w:t>积极争取中央财政林业改革发展资金、省级林业生态保护修复工程资金，确保年均增长15%。县级财政每年预算安排林业发展专项资金不低于</w:t>
      </w:r>
      <w:r>
        <w:rPr>
          <w:rFonts w:hint="eastAsia" w:ascii="Times New Roman" w:hAnsi="Times New Roman" w:eastAsia="仿宋_GB2312" w:cs="仿宋_GB2312"/>
          <w:sz w:val="32"/>
          <w:szCs w:val="32"/>
          <w:lang w:val="en-US" w:eastAsia="zh-CN"/>
        </w:rPr>
        <w:t>3000万</w:t>
      </w:r>
      <w:r>
        <w:rPr>
          <w:rFonts w:hint="eastAsia" w:ascii="Times New Roman" w:hAnsi="Times New Roman" w:eastAsia="仿宋_GB2312" w:cs="仿宋_GB2312"/>
          <w:sz w:val="32"/>
          <w:szCs w:val="32"/>
          <w:lang w:eastAsia="zh-CN"/>
        </w:rPr>
        <w:t>元，并整合乡村振兴、产业发展等相关领域资金，集中力量办大事。创新投融资模式，通过PPP、EOD等模式，引导和鼓励社会资本参与林业基础设施建设、生态旅游开发、林业碳汇等项目。</w:t>
      </w:r>
    </w:p>
    <w:p w14:paraId="5DE0EFE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（三）</w:t>
      </w:r>
      <w:r>
        <w:rPr>
          <w:rFonts w:hint="eastAsia" w:ascii="Times New Roman" w:hAnsi="Times New Roman" w:eastAsia="楷体_GB2312" w:cs="楷体_GB2312"/>
          <w:sz w:val="32"/>
          <w:szCs w:val="32"/>
        </w:rPr>
        <w:t>夯实技术保障</w:t>
      </w:r>
      <w:r>
        <w:rPr>
          <w:rFonts w:hint="eastAsia" w:ascii="Times New Roman" w:hAnsi="Times New Roman" w:eastAsia="楷体_GB2312" w:cs="楷体_GB2312"/>
          <w:sz w:val="32"/>
          <w:szCs w:val="32"/>
          <w:lang w:eastAsia="zh-CN"/>
        </w:rPr>
        <w:t>。</w:t>
      </w:r>
      <w:r>
        <w:rPr>
          <w:rFonts w:hint="eastAsia" w:ascii="Times New Roman" w:hAnsi="Times New Roman" w:eastAsia="仿宋_GB2312" w:cs="仿宋_GB2312"/>
          <w:sz w:val="32"/>
          <w:szCs w:val="32"/>
          <w:lang w:eastAsia="zh-CN"/>
        </w:rPr>
        <w:t>与山西农业大学林学院、省林业科学研究院等科研院所建立战略合作，共建“襄垣林业科技创新工作站”。聚焦道地药材良种选育、特色养殖疫病防控、困难立地造林、碳汇计量监测等关键技术开展联合攻关。实施“林业科技入户”工程，培训新型林业经营主体带头人、林农技术骨干1000人。</w:t>
      </w:r>
    </w:p>
    <w:p w14:paraId="0E9CC58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（四）</w:t>
      </w:r>
      <w:r>
        <w:rPr>
          <w:rFonts w:hint="eastAsia" w:ascii="Times New Roman" w:hAnsi="Times New Roman" w:eastAsia="楷体_GB2312" w:cs="楷体_GB2312"/>
          <w:sz w:val="32"/>
          <w:szCs w:val="32"/>
        </w:rPr>
        <w:t>严格监督评估</w:t>
      </w:r>
      <w:r>
        <w:rPr>
          <w:rFonts w:hint="eastAsia" w:ascii="Times New Roman" w:hAnsi="Times New Roman" w:eastAsia="楷体_GB2312" w:cs="楷体_GB2312"/>
          <w:sz w:val="32"/>
          <w:szCs w:val="32"/>
          <w:lang w:eastAsia="zh-CN"/>
        </w:rPr>
        <w:t>。</w:t>
      </w:r>
      <w:r>
        <w:rPr>
          <w:rFonts w:hint="eastAsia" w:ascii="Times New Roman" w:hAnsi="Times New Roman" w:eastAsia="仿宋_GB2312" w:cs="仿宋_GB2312"/>
          <w:sz w:val="32"/>
          <w:szCs w:val="32"/>
          <w:lang w:eastAsia="zh-CN"/>
        </w:rPr>
        <w:t>建立规划实施监测台账，对核心指标、重点任务、重大项目的进展情况进行动态跟踪和可视化管理。在2028年聘请第三方权威机构开展规划中期评估，2030年进行终期全面评估。将评估结果作为考核各镇、各部门工作绩效的重要依据，对推进不力的约谈问责，对成效显著的给予表彰奖励。</w:t>
      </w:r>
    </w:p>
    <w:p w14:paraId="7FB023D4">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Times New Roman" w:hAnsi="Times New Roman" w:eastAsia="国标仿宋" w:cs="国标仿宋"/>
          <w:sz w:val="32"/>
          <w:szCs w:val="32"/>
          <w:lang w:eastAsia="zh-CN"/>
        </w:rPr>
      </w:pPr>
    </w:p>
    <w:p w14:paraId="281C5512">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Times New Roman" w:hAnsi="Times New Roman" w:eastAsia="国标黑体" w:cs="国标黑体"/>
          <w:sz w:val="32"/>
          <w:szCs w:val="32"/>
          <w:lang w:eastAsia="zh-CN"/>
        </w:rPr>
      </w:pPr>
      <w:r>
        <w:rPr>
          <w:rFonts w:hint="eastAsia" w:ascii="Times New Roman" w:hAnsi="Times New Roman" w:eastAsia="国标黑体" w:cs="国标黑体"/>
          <w:sz w:val="32"/>
          <w:szCs w:val="32"/>
          <w:lang w:eastAsia="zh-CN"/>
        </w:rPr>
        <w:t>第四章</w:t>
      </w:r>
      <w:r>
        <w:rPr>
          <w:rFonts w:hint="eastAsia" w:ascii="Times New Roman" w:hAnsi="Times New Roman" w:eastAsia="国标黑体" w:cs="国标黑体"/>
          <w:sz w:val="32"/>
          <w:szCs w:val="32"/>
          <w:lang w:val="en-US" w:eastAsia="zh-CN"/>
        </w:rPr>
        <w:t xml:space="preserve"> </w:t>
      </w:r>
      <w:r>
        <w:rPr>
          <w:rFonts w:hint="eastAsia" w:ascii="Times New Roman" w:hAnsi="Times New Roman" w:eastAsia="国标黑体" w:cs="国标黑体"/>
          <w:sz w:val="32"/>
          <w:szCs w:val="32"/>
          <w:lang w:eastAsia="zh-CN"/>
        </w:rPr>
        <w:t>2026年工作打算</w:t>
      </w:r>
    </w:p>
    <w:p w14:paraId="56C3982C">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Times New Roman" w:hAnsi="Times New Roman" w:eastAsia="国标仿宋" w:cs="国标仿宋"/>
          <w:sz w:val="32"/>
          <w:szCs w:val="32"/>
          <w:lang w:eastAsia="zh-CN"/>
        </w:rPr>
      </w:pPr>
    </w:p>
    <w:p w14:paraId="2B83552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2026年是“十五五”规划开局之年，也是推动全县林业高质量发展的关键之年。县林业局将坚持以习近平生态文明思想为指导，深入贯彻落实党中央、国务院及省、市关于林业工作的决策部署，紧紧围绕生态优先、保护优先、绿色发展的核心要求，以夯实生态基础、激活产业动能、强化能力建设为主线，为全县经济社会可持续发展提供坚实的生态支撑。</w:t>
      </w:r>
    </w:p>
    <w:p w14:paraId="24826A5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黑体" w:cs="国标黑体"/>
          <w:sz w:val="32"/>
          <w:szCs w:val="32"/>
          <w:lang w:eastAsia="zh-CN"/>
        </w:rPr>
      </w:pPr>
      <w:r>
        <w:rPr>
          <w:rFonts w:hint="eastAsia" w:ascii="Times New Roman" w:hAnsi="Times New Roman" w:eastAsia="国标黑体" w:cs="国标黑体"/>
          <w:sz w:val="32"/>
          <w:szCs w:val="32"/>
          <w:lang w:eastAsia="zh-CN"/>
        </w:rPr>
        <w:t>一、工作思路</w:t>
      </w:r>
    </w:p>
    <w:p w14:paraId="25EB073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以“巩固生态成果、深化改革创新、提升产业质效、筑牢安全屏障”为核心，聚焦林草资源保护、修复与合理利用三大核心任务，持续深化林长制改革，强化科技创新驱动，推动林业生态效益、经济效益与社会效益协同共进，努力开创襄垣林业现代化建设新局面。</w:t>
      </w:r>
    </w:p>
    <w:p w14:paraId="76338FA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黑体" w:cs="国标黑体"/>
          <w:sz w:val="32"/>
          <w:szCs w:val="32"/>
          <w:lang w:eastAsia="zh-CN"/>
        </w:rPr>
      </w:pPr>
      <w:r>
        <w:rPr>
          <w:rFonts w:hint="eastAsia" w:ascii="Times New Roman" w:hAnsi="Times New Roman" w:eastAsia="国标黑体" w:cs="国标黑体"/>
          <w:sz w:val="32"/>
          <w:szCs w:val="32"/>
          <w:lang w:eastAsia="zh-CN"/>
        </w:rPr>
        <w:t>二、工作目标</w:t>
      </w:r>
    </w:p>
    <w:p w14:paraId="79225E7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（一）生态建设目标。</w:t>
      </w:r>
      <w:r>
        <w:rPr>
          <w:rFonts w:hint="eastAsia" w:ascii="Times New Roman" w:hAnsi="Times New Roman" w:eastAsia="仿宋_GB2312" w:cs="仿宋_GB2312"/>
          <w:sz w:val="32"/>
          <w:szCs w:val="32"/>
          <w:lang w:eastAsia="zh-CN"/>
        </w:rPr>
        <w:t>完成人工造林16000亩、封山育林2.5万亩、退化林修复1.5万亩，义务植树18000株。实施古树名木“一树一策”保护，完成3株古树名木的健康监测与复壮。</w:t>
      </w:r>
    </w:p>
    <w:p w14:paraId="16B57BF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（二）改革与产业目标。</w:t>
      </w:r>
      <w:r>
        <w:rPr>
          <w:rFonts w:hint="eastAsia" w:ascii="Times New Roman" w:hAnsi="Times New Roman" w:eastAsia="仿宋_GB2312" w:cs="仿宋_GB2312"/>
          <w:sz w:val="32"/>
          <w:szCs w:val="32"/>
          <w:lang w:eastAsia="zh-CN"/>
        </w:rPr>
        <w:t>林权证及林权类不动产证办证面积占林地总面积比例提升至65%以上。培育市级及以上林下经济龙头企业2家，通过完善联农带农机制，带动参与农户增收10%以上。</w:t>
      </w:r>
    </w:p>
    <w:p w14:paraId="7269D56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（三）资源管护与安全目标。</w:t>
      </w:r>
      <w:r>
        <w:rPr>
          <w:rFonts w:hint="eastAsia" w:ascii="Times New Roman" w:hAnsi="Times New Roman" w:eastAsia="仿宋_GB2312" w:cs="仿宋_GB2312"/>
          <w:sz w:val="32"/>
          <w:szCs w:val="32"/>
          <w:lang w:eastAsia="zh-CN"/>
        </w:rPr>
        <w:t>完成森林抚育6000亩。确保重大林草地案件和重特大森林火灾“双零发生”，森林火灾受害率稳定控制在0.9‰以下。</w:t>
      </w:r>
    </w:p>
    <w:p w14:paraId="2B104D2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（四）能力建设目标。</w:t>
      </w:r>
      <w:r>
        <w:rPr>
          <w:rFonts w:hint="eastAsia" w:ascii="Times New Roman" w:hAnsi="Times New Roman" w:eastAsia="仿宋_GB2312" w:cs="仿宋_GB2312"/>
          <w:sz w:val="32"/>
          <w:szCs w:val="32"/>
          <w:lang w:eastAsia="zh-CN"/>
        </w:rPr>
        <w:t>完成《襄垣县森林防火“十五五”规划》编制并发布实施。建成低空预警监测点位3个，提升预警监测能力。野生动物救助成功率保持在90%以上。</w:t>
      </w:r>
    </w:p>
    <w:p w14:paraId="3CE50A3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（五）重点项目目标。</w:t>
      </w:r>
      <w:r>
        <w:rPr>
          <w:rFonts w:hint="eastAsia" w:ascii="Times New Roman" w:hAnsi="Times New Roman" w:eastAsia="仿宋_GB2312" w:cs="仿宋_GB2312"/>
          <w:sz w:val="32"/>
          <w:szCs w:val="32"/>
          <w:lang w:eastAsia="zh-CN"/>
        </w:rPr>
        <w:t>全面完成“山西省太行山中南段革命老区（襄垣县）国土绿化示范项目”年度建设任务，确保项目按期收官。</w:t>
      </w:r>
    </w:p>
    <w:p w14:paraId="24FF701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黑体" w:cs="国标黑体"/>
          <w:sz w:val="32"/>
          <w:szCs w:val="32"/>
          <w:lang w:eastAsia="zh-CN"/>
        </w:rPr>
      </w:pPr>
      <w:r>
        <w:rPr>
          <w:rFonts w:hint="eastAsia" w:ascii="Times New Roman" w:hAnsi="Times New Roman" w:eastAsia="国标黑体" w:cs="国标黑体"/>
          <w:sz w:val="32"/>
          <w:szCs w:val="32"/>
          <w:lang w:eastAsia="zh-CN"/>
        </w:rPr>
        <w:t>三、工作重点及举措</w:t>
      </w:r>
    </w:p>
    <w:p w14:paraId="68443E3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（一）深化生态保护修复，筑牢绿色生态基底</w:t>
      </w:r>
    </w:p>
    <w:p w14:paraId="01A84B9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1.实施精准绿化工程。</w:t>
      </w:r>
      <w:r>
        <w:rPr>
          <w:rFonts w:hint="eastAsia" w:ascii="Times New Roman" w:hAnsi="Times New Roman" w:eastAsia="仿宋_GB2312" w:cs="仿宋_GB2312"/>
          <w:sz w:val="32"/>
          <w:szCs w:val="32"/>
          <w:lang w:eastAsia="zh-CN"/>
        </w:rPr>
        <w:t>针对石质山地、退化林地等困难立地条件，制定专项造林方案，推广容器苗造林、乡土树种应用等关键技术，切实提高造林成活率和保存率。扎实推进“山西省太行山中南段革命老区（襄垣县）国土绿化示范项目”，确保完成1.5万亩人工造林、1.7万亩退化林修复、0.5万亩中幼林抚育及10个村庄绿化任务。</w:t>
      </w:r>
    </w:p>
    <w:p w14:paraId="17D2F2A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2.强化资源管护责任。</w:t>
      </w:r>
      <w:r>
        <w:rPr>
          <w:rFonts w:hint="eastAsia" w:ascii="Times New Roman" w:hAnsi="Times New Roman" w:eastAsia="仿宋_GB2312" w:cs="仿宋_GB2312"/>
          <w:sz w:val="32"/>
          <w:szCs w:val="32"/>
          <w:lang w:eastAsia="zh-CN"/>
        </w:rPr>
        <w:t>建立和完善造林地后期管护“网格化”责任体系，确保每片新造林地均有明确管护责任人。推行“管护成效与补贴挂钩”激励机制，实现“造一片、活一片、成一片”的目标。</w:t>
      </w:r>
    </w:p>
    <w:p w14:paraId="1B05880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3.加强生物多样性保护。</w:t>
      </w:r>
      <w:r>
        <w:rPr>
          <w:rFonts w:hint="eastAsia" w:ascii="Times New Roman" w:hAnsi="Times New Roman" w:eastAsia="仿宋_GB2312" w:cs="仿宋_GB2312"/>
          <w:sz w:val="32"/>
          <w:szCs w:val="32"/>
          <w:lang w:eastAsia="zh-CN"/>
        </w:rPr>
        <w:t>精细化开展古树名木保护管理。加强自然保护地建设，完成三漳湿地公园瞭望塔竣工验收并投入使用，编制完成自然保护地保护利用规划。常态化开展野生动物栖息地保护与监测，提升救助设施水平，建立县域野生动物监测台账。</w:t>
      </w:r>
    </w:p>
    <w:p w14:paraId="735A25C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（二）推进林业改革创新，激发产业发展活力</w:t>
      </w:r>
    </w:p>
    <w:p w14:paraId="67B6963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1.深化集体林权制度改革。</w:t>
      </w:r>
      <w:r>
        <w:rPr>
          <w:rFonts w:hint="eastAsia" w:ascii="Times New Roman" w:hAnsi="Times New Roman" w:eastAsia="仿宋_GB2312" w:cs="仿宋_GB2312"/>
          <w:sz w:val="32"/>
          <w:szCs w:val="32"/>
          <w:lang w:eastAsia="zh-CN"/>
        </w:rPr>
        <w:t>加快剩余林权类不动产登记发证工作，力争2026年底实现新增集体林地、国有林地确权发证全覆盖。积极探索并规范集体林权流转。</w:t>
      </w:r>
    </w:p>
    <w:p w14:paraId="6419A86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2.推动林下经济提质增效。</w:t>
      </w:r>
      <w:r>
        <w:rPr>
          <w:rFonts w:hint="eastAsia" w:ascii="Times New Roman" w:hAnsi="Times New Roman" w:eastAsia="仿宋_GB2312" w:cs="仿宋_GB2312"/>
          <w:sz w:val="32"/>
          <w:szCs w:val="32"/>
          <w:lang w:eastAsia="zh-CN"/>
        </w:rPr>
        <w:t>实施“林下经济提质工程”，重点扶持林药、林蜂等特色产业，高标准建设林下经济示范基地2个。积极组织企业参加各类林业产业博览会，提升襄垣林产品品牌影响力与市场竞争力。</w:t>
      </w:r>
    </w:p>
    <w:p w14:paraId="554F104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3.完善联农带农利益联结机制。</w:t>
      </w:r>
      <w:r>
        <w:rPr>
          <w:rFonts w:hint="eastAsia" w:ascii="Times New Roman" w:hAnsi="Times New Roman" w:eastAsia="仿宋_GB2312" w:cs="仿宋_GB2312"/>
          <w:sz w:val="32"/>
          <w:szCs w:val="32"/>
          <w:lang w:eastAsia="zh-CN"/>
        </w:rPr>
        <w:t>推动龙头企业与专业合作社、农户建立“保底收购+利润分红”等稳定合作模式，拓宽农民增收渠道，共享林业发展红利。</w:t>
      </w:r>
    </w:p>
    <w:p w14:paraId="485069C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（三）筑牢资源安全防线，提升风险防控能力</w:t>
      </w:r>
    </w:p>
    <w:p w14:paraId="45CED75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1.强化林业执法监管。</w:t>
      </w:r>
      <w:r>
        <w:rPr>
          <w:rFonts w:hint="eastAsia" w:ascii="Times New Roman" w:hAnsi="Times New Roman" w:eastAsia="仿宋_GB2312" w:cs="仿宋_GB2312"/>
          <w:sz w:val="32"/>
          <w:szCs w:val="32"/>
          <w:lang w:eastAsia="zh-CN"/>
        </w:rPr>
        <w:t>联合公安、自然资源等部门持续开展“利剑护林”等专项执法行动，保持对破坏森林草原资源违法行为的高压震慑态势。</w:t>
      </w:r>
    </w:p>
    <w:p w14:paraId="4E76760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2.提升森林火灾防控能力。</w:t>
      </w:r>
      <w:r>
        <w:rPr>
          <w:rFonts w:hint="eastAsia" w:ascii="Times New Roman" w:hAnsi="Times New Roman" w:eastAsia="仿宋_GB2312" w:cs="仿宋_GB2312"/>
          <w:sz w:val="32"/>
          <w:szCs w:val="32"/>
          <w:lang w:eastAsia="zh-CN"/>
        </w:rPr>
        <w:t>一是规划引领上，完成并实施《襄垣县森林防火“十五五”规划》。二是基础设施建设上，推进王桥、善福两镇防火道路提质改造，新建蓄水池5座；启动林火阻隔系统建设，结合地形加强防火道路、蓄水池、隔离带（网）建设。三是预警监测体系现代化上，建设低空预警监测网络（3个点位），融合视频监控、瞭望、巡护及无人机巡护，构建“空天地人”一体化林火监测体系，力争林火智能监控覆盖率提升，应急响应时间缩短20%。四是物资与队伍建设上，推动各镇、重点林区村建立和完善防灭火物资储备库（点），补充更新扑火机具装备；积极争取资金，分点建设专业消防队营房，改善靠前驻防条件；加强队伍业务培训、体能训练和实战演练，推行防火员量化绩效考核。五是完善工作机制上，修订《森林火灾扑救预案》，健全森林防火工作体制，确保“打早、打小、打了”。</w:t>
      </w:r>
    </w:p>
    <w:p w14:paraId="1C5B61D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3.推进森林抚育精细化。</w:t>
      </w:r>
      <w:r>
        <w:rPr>
          <w:rFonts w:hint="eastAsia" w:ascii="Times New Roman" w:hAnsi="Times New Roman" w:eastAsia="仿宋_GB2312" w:cs="仿宋_GB2312"/>
          <w:sz w:val="32"/>
          <w:szCs w:val="32"/>
          <w:lang w:eastAsia="zh-CN"/>
        </w:rPr>
        <w:t>完成6000亩森林抚育任务，重点优化中幼林林分结构，提升森林质量和生态功能。</w:t>
      </w:r>
    </w:p>
    <w:p w14:paraId="2AE8910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（四）增强科技与应急支撑，夯实发展基础</w:t>
      </w:r>
    </w:p>
    <w:p w14:paraId="1DBA07D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1.加快科技应用推广。</w:t>
      </w:r>
      <w:r>
        <w:rPr>
          <w:rFonts w:hint="eastAsia" w:ascii="Times New Roman" w:hAnsi="Times New Roman" w:eastAsia="仿宋_GB2312" w:cs="仿宋_GB2312"/>
          <w:sz w:val="32"/>
          <w:szCs w:val="32"/>
          <w:lang w:eastAsia="zh-CN"/>
        </w:rPr>
        <w:t>配备无人机等低空监测设备3台，深化在资源监测、防火、病虫害防治等领域的应用。开展林业实用技术培训5场次，培训基层管护人员、林农300人次，缓解专业人才短缺压力。</w:t>
      </w:r>
    </w:p>
    <w:p w14:paraId="14CFD0F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2.提升应急处置水平。</w:t>
      </w:r>
      <w:r>
        <w:rPr>
          <w:rFonts w:hint="eastAsia" w:ascii="Times New Roman" w:hAnsi="Times New Roman" w:eastAsia="仿宋_GB2312" w:cs="仿宋_GB2312"/>
          <w:sz w:val="32"/>
          <w:szCs w:val="32"/>
          <w:lang w:eastAsia="zh-CN"/>
        </w:rPr>
        <w:t>依托低空预警监测网络和健全的预案体系，提升对林业突发事件的快速发现和有效处置能力。</w:t>
      </w:r>
    </w:p>
    <w:p w14:paraId="43A4927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国标黑体" w:cs="国标黑体"/>
          <w:sz w:val="32"/>
          <w:szCs w:val="32"/>
          <w:lang w:eastAsia="zh-CN"/>
        </w:rPr>
      </w:pPr>
      <w:r>
        <w:rPr>
          <w:rFonts w:hint="eastAsia" w:ascii="Times New Roman" w:hAnsi="Times New Roman" w:eastAsia="国标黑体" w:cs="国标黑体"/>
          <w:sz w:val="32"/>
          <w:szCs w:val="32"/>
          <w:lang w:eastAsia="zh-CN"/>
        </w:rPr>
        <w:t>四、重点项目与重大事项谋划</w:t>
      </w:r>
    </w:p>
    <w:p w14:paraId="7620E8C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eastAsia="zh-CN"/>
        </w:rPr>
        <w:t>（一）重点工程。</w:t>
      </w:r>
      <w:r>
        <w:rPr>
          <w:rFonts w:hint="eastAsia" w:ascii="Times New Roman" w:hAnsi="Times New Roman" w:eastAsia="仿宋_GB2312" w:cs="仿宋_GB2312"/>
          <w:sz w:val="32"/>
          <w:szCs w:val="32"/>
          <w:lang w:eastAsia="zh-CN"/>
        </w:rPr>
        <w:t>包括襄垣县2026年森林质量精准提升6000亩森林抚育工程、森林防火低空预警体系建设3个低空预警监测点位及相关配套设施工程及跨年度重点项目山西省太行山中南段革命老区（襄垣县）国土绿化示范工程</w:t>
      </w:r>
      <w:r>
        <w:rPr>
          <w:rFonts w:hint="eastAsia" w:ascii="Times New Roman" w:hAnsi="Times New Roman" w:eastAsia="仿宋_GB2312" w:cs="仿宋_GB2312"/>
          <w:sz w:val="32"/>
          <w:szCs w:val="32"/>
          <w:lang w:val="en-US" w:eastAsia="zh-CN"/>
        </w:rPr>
        <w:t>3个。</w:t>
      </w:r>
    </w:p>
    <w:p w14:paraId="56CDFD5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（二）重点改革。</w:t>
      </w:r>
      <w:r>
        <w:rPr>
          <w:rFonts w:hint="eastAsia" w:ascii="Times New Roman" w:hAnsi="Times New Roman" w:eastAsia="仿宋_GB2312" w:cs="仿宋_GB2312"/>
          <w:sz w:val="32"/>
          <w:szCs w:val="32"/>
          <w:lang w:eastAsia="zh-CN"/>
        </w:rPr>
        <w:t>包括集体林权流转规范化试点改革、林下经济产业链融合发展改革、推深做实林长制改革</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项。</w:t>
      </w:r>
    </w:p>
    <w:p w14:paraId="4E171C1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eastAsia="zh-CN"/>
        </w:rPr>
        <w:t>（三）重大民生实事。</w:t>
      </w:r>
      <w:r>
        <w:rPr>
          <w:rFonts w:hint="eastAsia" w:ascii="Times New Roman" w:hAnsi="Times New Roman" w:eastAsia="仿宋_GB2312" w:cs="仿宋_GB2312"/>
          <w:sz w:val="32"/>
          <w:szCs w:val="32"/>
          <w:lang w:eastAsia="zh-CN"/>
        </w:rPr>
        <w:t>包括古树名木保护复壮项目、林下经济示范基地建设及技术推广项目、野生动物救助能力提升项目</w:t>
      </w:r>
      <w:r>
        <w:rPr>
          <w:rFonts w:hint="eastAsia" w:ascii="Times New Roman" w:hAnsi="Times New Roman" w:eastAsia="仿宋_GB2312" w:cs="仿宋_GB2312"/>
          <w:sz w:val="32"/>
          <w:szCs w:val="32"/>
          <w:lang w:val="en-US" w:eastAsia="zh-CN"/>
        </w:rPr>
        <w:t>3项</w:t>
      </w:r>
      <w:r>
        <w:rPr>
          <w:rFonts w:hint="eastAsia" w:ascii="Times New Roman" w:hAnsi="Times New Roman" w:eastAsia="仿宋_GB2312" w:cs="仿宋_GB2312"/>
          <w:sz w:val="32"/>
          <w:szCs w:val="32"/>
          <w:lang w:eastAsia="zh-CN"/>
        </w:rPr>
        <w:t>。</w:t>
      </w:r>
    </w:p>
    <w:p w14:paraId="6787587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征程万里风正劲，重任千钧再出发。“十五五”时期，襄垣林业将牢记嘱托、砥砺前行，以“功成不必在我”的精神境界和“功成必定有我”的历史担当，奋力谱写襄垣林业高质量发展新篇章，为描绘中国式现代化襄垣图景增添最动人的绿色底色！</w:t>
      </w:r>
    </w:p>
    <w:p w14:paraId="7604709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以上报告如有不妥敬请批评指正！</w:t>
      </w:r>
    </w:p>
    <w:p w14:paraId="5BFEAE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eastAsia="zh-CN"/>
        </w:rPr>
      </w:pPr>
    </w:p>
    <w:p w14:paraId="65620355">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eastAsia" w:ascii="Times New Roman" w:hAnsi="Times New Roman" w:eastAsia="仿宋_GB2312" w:cs="仿宋_GB2312"/>
          <w:sz w:val="32"/>
          <w:szCs w:val="32"/>
          <w:lang w:val="en-US" w:eastAsia="zh-CN"/>
        </w:rPr>
      </w:pPr>
    </w:p>
    <w:p w14:paraId="5C8508B6">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2025年11月22日</w:t>
      </w:r>
    </w:p>
    <w:p w14:paraId="55447289">
      <w:pPr>
        <w:keepNext w:val="0"/>
        <w:keepLines w:val="0"/>
        <w:pageBreakBefore w:val="0"/>
        <w:widowControl w:val="0"/>
        <w:kinsoku w:val="0"/>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caps w:val="0"/>
          <w:color w:val="auto"/>
          <w:spacing w:val="0"/>
          <w:w w:val="100"/>
          <w:sz w:val="32"/>
          <w:szCs w:val="32"/>
          <w:lang w:val="en-US" w:eastAsia="zh-CN"/>
        </w:rPr>
      </w:pPr>
    </w:p>
    <w:sectPr>
      <w:footerReference r:id="rId3" w:type="default"/>
      <w:pgSz w:w="11906" w:h="16838"/>
      <w:pgMar w:top="2098" w:right="1474" w:bottom="1984" w:left="1587" w:header="851"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仿宋_GB2312">
    <w:panose1 w:val="02010609030101010101"/>
    <w:charset w:val="86"/>
    <w:family w:val="auto"/>
    <w:pitch w:val="default"/>
    <w:sig w:usb0="00000001" w:usb1="080E0000" w:usb2="00000000" w:usb3="00000000" w:csb0="00040000" w:csb1="00000000"/>
  </w:font>
  <w:font w:name="Gungsuh">
    <w:altName w:val="Noto Sans CJK KR"/>
    <w:panose1 w:val="02030600000101010101"/>
    <w:charset w:val="81"/>
    <w:family w:val="roman"/>
    <w:pitch w:val="default"/>
    <w:sig w:usb0="00000000" w:usb1="00000000" w:usb2="00000030" w:usb3="00000000" w:csb0="0008009F" w:csb1="00000000"/>
  </w:font>
  <w:font w:name="Noto Sans CJK KR">
    <w:panose1 w:val="020B05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国标黑体">
    <w:panose1 w:val="02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0DCA">
    <w:pPr>
      <w:pStyle w:val="8"/>
      <w:tabs>
        <w:tab w:val="left" w:pos="4988"/>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-409575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FFEFA">
                          <w:pPr>
                            <w:pStyle w:val="8"/>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r>
                            <w:rPr>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2.25pt;height:144pt;width:144pt;mso-position-horizontal:outside;mso-position-horizontal-relative:margin;mso-wrap-style:none;z-index:251659264;mso-width-relative:page;mso-height-relative:page;" filled="f" stroked="f" coordsize="21600,21600" o:gfxdata="UEsDBAoAAAAAAIdO4kAAAAAAAAAAAAAAAAAEAAAAZHJzL1BLAwQUAAAACACHTuJAa5fDy9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x22xBsJxmGV9OPKTr&#10;LciykP8LlD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uXw8v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6C4FFEFA">
                    <w:pPr>
                      <w:pStyle w:val="8"/>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r>
                      <w:rPr>
                        <w:sz w:val="28"/>
                        <w:szCs w:val="40"/>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MTlkNzBiMGU5NjIzMTUwZjkzN2ZkMTlmMWJjMDAifQ=="/>
  </w:docVars>
  <w:rsids>
    <w:rsidRoot w:val="395A3419"/>
    <w:rsid w:val="004672B9"/>
    <w:rsid w:val="004A4E9C"/>
    <w:rsid w:val="00577718"/>
    <w:rsid w:val="00C6664C"/>
    <w:rsid w:val="00CA613C"/>
    <w:rsid w:val="013435B5"/>
    <w:rsid w:val="013A591C"/>
    <w:rsid w:val="014C6B51"/>
    <w:rsid w:val="015E6884"/>
    <w:rsid w:val="016F283F"/>
    <w:rsid w:val="01C62F2B"/>
    <w:rsid w:val="02337D11"/>
    <w:rsid w:val="025C1439"/>
    <w:rsid w:val="02793305"/>
    <w:rsid w:val="029A38EC"/>
    <w:rsid w:val="02B00912"/>
    <w:rsid w:val="030A5062"/>
    <w:rsid w:val="034F46D6"/>
    <w:rsid w:val="036068E4"/>
    <w:rsid w:val="037803FA"/>
    <w:rsid w:val="03D13F17"/>
    <w:rsid w:val="03FB4ADA"/>
    <w:rsid w:val="046441B2"/>
    <w:rsid w:val="04874623"/>
    <w:rsid w:val="04A56DBA"/>
    <w:rsid w:val="04E15802"/>
    <w:rsid w:val="04F80D9E"/>
    <w:rsid w:val="052027CE"/>
    <w:rsid w:val="05462519"/>
    <w:rsid w:val="05526046"/>
    <w:rsid w:val="05665D07"/>
    <w:rsid w:val="056D353A"/>
    <w:rsid w:val="05734807"/>
    <w:rsid w:val="058A768E"/>
    <w:rsid w:val="05A93DF4"/>
    <w:rsid w:val="05F15F19"/>
    <w:rsid w:val="06622FC8"/>
    <w:rsid w:val="06783F44"/>
    <w:rsid w:val="0701218C"/>
    <w:rsid w:val="07027CB2"/>
    <w:rsid w:val="071E0FBB"/>
    <w:rsid w:val="0737795B"/>
    <w:rsid w:val="073A744C"/>
    <w:rsid w:val="075E75DE"/>
    <w:rsid w:val="078810F8"/>
    <w:rsid w:val="07927288"/>
    <w:rsid w:val="07973B1E"/>
    <w:rsid w:val="079E5C2C"/>
    <w:rsid w:val="07AB2B9E"/>
    <w:rsid w:val="07AC2212"/>
    <w:rsid w:val="08463FAA"/>
    <w:rsid w:val="08470072"/>
    <w:rsid w:val="085D5BD5"/>
    <w:rsid w:val="08C1110F"/>
    <w:rsid w:val="08CD7C04"/>
    <w:rsid w:val="08E20912"/>
    <w:rsid w:val="095F5C0E"/>
    <w:rsid w:val="09655834"/>
    <w:rsid w:val="09942EE5"/>
    <w:rsid w:val="099C619C"/>
    <w:rsid w:val="099F3C1D"/>
    <w:rsid w:val="09B91A50"/>
    <w:rsid w:val="09BB2D0B"/>
    <w:rsid w:val="0A037EF1"/>
    <w:rsid w:val="0A1E0856"/>
    <w:rsid w:val="0A215D80"/>
    <w:rsid w:val="0A363703"/>
    <w:rsid w:val="0A466107"/>
    <w:rsid w:val="0A621193"/>
    <w:rsid w:val="0A6E5D8A"/>
    <w:rsid w:val="0A823EB5"/>
    <w:rsid w:val="0AA7129C"/>
    <w:rsid w:val="0AFC1143"/>
    <w:rsid w:val="0B564AC6"/>
    <w:rsid w:val="0C0544CC"/>
    <w:rsid w:val="0C1B3CF0"/>
    <w:rsid w:val="0C731CB1"/>
    <w:rsid w:val="0C994C14"/>
    <w:rsid w:val="0CD67C16"/>
    <w:rsid w:val="0CDB7176"/>
    <w:rsid w:val="0CE95B9C"/>
    <w:rsid w:val="0CEE48C9"/>
    <w:rsid w:val="0D3A4CEF"/>
    <w:rsid w:val="0D6C40D7"/>
    <w:rsid w:val="0D9F26FE"/>
    <w:rsid w:val="0E4C4192"/>
    <w:rsid w:val="0E4F5ED2"/>
    <w:rsid w:val="0E7F1990"/>
    <w:rsid w:val="0ED168E7"/>
    <w:rsid w:val="0F380715"/>
    <w:rsid w:val="0F5D5378"/>
    <w:rsid w:val="0F81030D"/>
    <w:rsid w:val="0F8E0590"/>
    <w:rsid w:val="0F9C5147"/>
    <w:rsid w:val="0FA638D0"/>
    <w:rsid w:val="0FA63B55"/>
    <w:rsid w:val="0FD52407"/>
    <w:rsid w:val="0FD85A54"/>
    <w:rsid w:val="0FEE9E8A"/>
    <w:rsid w:val="104051FA"/>
    <w:rsid w:val="10A27355"/>
    <w:rsid w:val="10CB4189"/>
    <w:rsid w:val="10CD1544"/>
    <w:rsid w:val="110034B4"/>
    <w:rsid w:val="111A220C"/>
    <w:rsid w:val="11615131"/>
    <w:rsid w:val="11FC011F"/>
    <w:rsid w:val="12502219"/>
    <w:rsid w:val="125D0492"/>
    <w:rsid w:val="12742163"/>
    <w:rsid w:val="128D0D77"/>
    <w:rsid w:val="12A460C1"/>
    <w:rsid w:val="12D746E8"/>
    <w:rsid w:val="132266F8"/>
    <w:rsid w:val="13285B03"/>
    <w:rsid w:val="133D279D"/>
    <w:rsid w:val="134E379A"/>
    <w:rsid w:val="139B74C4"/>
    <w:rsid w:val="13A10F7E"/>
    <w:rsid w:val="13F80C30"/>
    <w:rsid w:val="14101C60"/>
    <w:rsid w:val="142B2F23"/>
    <w:rsid w:val="1461426A"/>
    <w:rsid w:val="148D4CD5"/>
    <w:rsid w:val="14A33DFA"/>
    <w:rsid w:val="14DC0D52"/>
    <w:rsid w:val="152756A4"/>
    <w:rsid w:val="154F376A"/>
    <w:rsid w:val="15581B10"/>
    <w:rsid w:val="157C7B48"/>
    <w:rsid w:val="15DD0D6C"/>
    <w:rsid w:val="162714E3"/>
    <w:rsid w:val="166A259C"/>
    <w:rsid w:val="166B7621"/>
    <w:rsid w:val="16753E7F"/>
    <w:rsid w:val="16774218"/>
    <w:rsid w:val="16B326A1"/>
    <w:rsid w:val="16F007BA"/>
    <w:rsid w:val="1768590F"/>
    <w:rsid w:val="17DC9FCA"/>
    <w:rsid w:val="17F13B56"/>
    <w:rsid w:val="183103F7"/>
    <w:rsid w:val="189C3308"/>
    <w:rsid w:val="191E097B"/>
    <w:rsid w:val="19874772"/>
    <w:rsid w:val="19F45B80"/>
    <w:rsid w:val="19F749B0"/>
    <w:rsid w:val="1A2F6BB8"/>
    <w:rsid w:val="1A6B4C92"/>
    <w:rsid w:val="1AC76DF0"/>
    <w:rsid w:val="1AC83684"/>
    <w:rsid w:val="1B1C6027"/>
    <w:rsid w:val="1B23671D"/>
    <w:rsid w:val="1B5E1503"/>
    <w:rsid w:val="1B7103EB"/>
    <w:rsid w:val="1B7F1527"/>
    <w:rsid w:val="1B882A24"/>
    <w:rsid w:val="1B97484D"/>
    <w:rsid w:val="1BB217E4"/>
    <w:rsid w:val="1BBE6445"/>
    <w:rsid w:val="1BD25A4D"/>
    <w:rsid w:val="1C0025BA"/>
    <w:rsid w:val="1C2C1601"/>
    <w:rsid w:val="1C6E1C1A"/>
    <w:rsid w:val="1C7928E8"/>
    <w:rsid w:val="1C8036FB"/>
    <w:rsid w:val="1CA825BF"/>
    <w:rsid w:val="1CF814E3"/>
    <w:rsid w:val="1D3E783E"/>
    <w:rsid w:val="1D6F3805"/>
    <w:rsid w:val="1D750360"/>
    <w:rsid w:val="1DBA0E8A"/>
    <w:rsid w:val="1DD67A76"/>
    <w:rsid w:val="1DDD4BEF"/>
    <w:rsid w:val="1DED3012"/>
    <w:rsid w:val="1E9516DF"/>
    <w:rsid w:val="1EC5799B"/>
    <w:rsid w:val="1EEE7042"/>
    <w:rsid w:val="1F410948"/>
    <w:rsid w:val="1F56096A"/>
    <w:rsid w:val="1FDE70B6"/>
    <w:rsid w:val="1FE6695B"/>
    <w:rsid w:val="202A46B7"/>
    <w:rsid w:val="20BB73F7"/>
    <w:rsid w:val="20EC405E"/>
    <w:rsid w:val="21130FE1"/>
    <w:rsid w:val="21AB746C"/>
    <w:rsid w:val="21B41560"/>
    <w:rsid w:val="21BA25F8"/>
    <w:rsid w:val="21D15D05"/>
    <w:rsid w:val="21D50045"/>
    <w:rsid w:val="21F30AB1"/>
    <w:rsid w:val="220B7CE2"/>
    <w:rsid w:val="22366FAC"/>
    <w:rsid w:val="223C32DB"/>
    <w:rsid w:val="22543660"/>
    <w:rsid w:val="22C407E5"/>
    <w:rsid w:val="22C97BAA"/>
    <w:rsid w:val="22FD4463"/>
    <w:rsid w:val="230E51B1"/>
    <w:rsid w:val="23607DE2"/>
    <w:rsid w:val="23666A2E"/>
    <w:rsid w:val="237652A7"/>
    <w:rsid w:val="23957430"/>
    <w:rsid w:val="24386578"/>
    <w:rsid w:val="247753E3"/>
    <w:rsid w:val="24805A2B"/>
    <w:rsid w:val="24907947"/>
    <w:rsid w:val="24AB04CD"/>
    <w:rsid w:val="24AF4B7D"/>
    <w:rsid w:val="24C26FA6"/>
    <w:rsid w:val="24D35DD8"/>
    <w:rsid w:val="24FDE6A1"/>
    <w:rsid w:val="25664601"/>
    <w:rsid w:val="25756260"/>
    <w:rsid w:val="25A16BBC"/>
    <w:rsid w:val="25BC0C55"/>
    <w:rsid w:val="25D24FC7"/>
    <w:rsid w:val="25DC551F"/>
    <w:rsid w:val="261455E0"/>
    <w:rsid w:val="264D7A32"/>
    <w:rsid w:val="2652435A"/>
    <w:rsid w:val="265268D8"/>
    <w:rsid w:val="268F2EB8"/>
    <w:rsid w:val="26BB38D1"/>
    <w:rsid w:val="26EE1F2C"/>
    <w:rsid w:val="26EF1BA9"/>
    <w:rsid w:val="275D3EF8"/>
    <w:rsid w:val="2765549A"/>
    <w:rsid w:val="27810584"/>
    <w:rsid w:val="278D080D"/>
    <w:rsid w:val="27B569F3"/>
    <w:rsid w:val="27C76682"/>
    <w:rsid w:val="27D05536"/>
    <w:rsid w:val="27E24E67"/>
    <w:rsid w:val="281470FD"/>
    <w:rsid w:val="28292CFE"/>
    <w:rsid w:val="28535436"/>
    <w:rsid w:val="28DE3C83"/>
    <w:rsid w:val="28EF5E90"/>
    <w:rsid w:val="29051028"/>
    <w:rsid w:val="290A2CCA"/>
    <w:rsid w:val="29951D14"/>
    <w:rsid w:val="299609FE"/>
    <w:rsid w:val="299C349F"/>
    <w:rsid w:val="29AE0F26"/>
    <w:rsid w:val="29B26593"/>
    <w:rsid w:val="29F67F25"/>
    <w:rsid w:val="2A230E64"/>
    <w:rsid w:val="2A4216FF"/>
    <w:rsid w:val="2AD92954"/>
    <w:rsid w:val="2AE01A8B"/>
    <w:rsid w:val="2AEF447E"/>
    <w:rsid w:val="2B3247EE"/>
    <w:rsid w:val="2B404D3D"/>
    <w:rsid w:val="2B425633"/>
    <w:rsid w:val="2B591CE7"/>
    <w:rsid w:val="2B5E1768"/>
    <w:rsid w:val="2B870602"/>
    <w:rsid w:val="2BEEE16C"/>
    <w:rsid w:val="2C0F23A5"/>
    <w:rsid w:val="2C352825"/>
    <w:rsid w:val="2C4033E6"/>
    <w:rsid w:val="2C462962"/>
    <w:rsid w:val="2C4B162F"/>
    <w:rsid w:val="2C4C57BC"/>
    <w:rsid w:val="2C5734D5"/>
    <w:rsid w:val="2C7F3C15"/>
    <w:rsid w:val="2C970D19"/>
    <w:rsid w:val="2CFD40A4"/>
    <w:rsid w:val="2D6F16F3"/>
    <w:rsid w:val="2D80355B"/>
    <w:rsid w:val="2D9228E5"/>
    <w:rsid w:val="2DB11966"/>
    <w:rsid w:val="2DB9081B"/>
    <w:rsid w:val="2DBD427A"/>
    <w:rsid w:val="2DE55AB4"/>
    <w:rsid w:val="2E080751"/>
    <w:rsid w:val="2E1F2D74"/>
    <w:rsid w:val="2E3C1B78"/>
    <w:rsid w:val="2E3D4E8E"/>
    <w:rsid w:val="2E860AD1"/>
    <w:rsid w:val="2E900182"/>
    <w:rsid w:val="2E9F4F43"/>
    <w:rsid w:val="2F154177"/>
    <w:rsid w:val="2F2E6FE6"/>
    <w:rsid w:val="2F37233F"/>
    <w:rsid w:val="2F4269B5"/>
    <w:rsid w:val="2F61560E"/>
    <w:rsid w:val="2F780EFD"/>
    <w:rsid w:val="2F9A4234"/>
    <w:rsid w:val="2FF26266"/>
    <w:rsid w:val="30330D58"/>
    <w:rsid w:val="30901D72"/>
    <w:rsid w:val="30A05CC2"/>
    <w:rsid w:val="30BA6D84"/>
    <w:rsid w:val="30E16631"/>
    <w:rsid w:val="30E175BD"/>
    <w:rsid w:val="30F9202A"/>
    <w:rsid w:val="31093737"/>
    <w:rsid w:val="31440D43"/>
    <w:rsid w:val="31C205E6"/>
    <w:rsid w:val="32847649"/>
    <w:rsid w:val="328C4750"/>
    <w:rsid w:val="32E225C2"/>
    <w:rsid w:val="3308364D"/>
    <w:rsid w:val="33354DE7"/>
    <w:rsid w:val="3377450D"/>
    <w:rsid w:val="33845031"/>
    <w:rsid w:val="33A06567"/>
    <w:rsid w:val="33A361F5"/>
    <w:rsid w:val="33DC30AC"/>
    <w:rsid w:val="33F204AB"/>
    <w:rsid w:val="347E471F"/>
    <w:rsid w:val="347EC25B"/>
    <w:rsid w:val="34A75871"/>
    <w:rsid w:val="34B8706D"/>
    <w:rsid w:val="352E5F92"/>
    <w:rsid w:val="35301D0A"/>
    <w:rsid w:val="353428EC"/>
    <w:rsid w:val="35543634"/>
    <w:rsid w:val="35557C6B"/>
    <w:rsid w:val="355A6BF1"/>
    <w:rsid w:val="35621232"/>
    <w:rsid w:val="35D501BC"/>
    <w:rsid w:val="35E105AE"/>
    <w:rsid w:val="35F066A8"/>
    <w:rsid w:val="367A0805"/>
    <w:rsid w:val="36C00E6C"/>
    <w:rsid w:val="36C64A84"/>
    <w:rsid w:val="36C85F3D"/>
    <w:rsid w:val="370C40B1"/>
    <w:rsid w:val="372E5C25"/>
    <w:rsid w:val="374101FF"/>
    <w:rsid w:val="37883E23"/>
    <w:rsid w:val="379C6CCF"/>
    <w:rsid w:val="379E681E"/>
    <w:rsid w:val="379F4F25"/>
    <w:rsid w:val="37C14E9C"/>
    <w:rsid w:val="37F72FBB"/>
    <w:rsid w:val="384C6E5B"/>
    <w:rsid w:val="38853874"/>
    <w:rsid w:val="38A55FDC"/>
    <w:rsid w:val="38B77E9B"/>
    <w:rsid w:val="38DF7CCF"/>
    <w:rsid w:val="392FEAEE"/>
    <w:rsid w:val="393A4851"/>
    <w:rsid w:val="395A3419"/>
    <w:rsid w:val="397C551E"/>
    <w:rsid w:val="39CB3DB0"/>
    <w:rsid w:val="39D07618"/>
    <w:rsid w:val="39E906DA"/>
    <w:rsid w:val="39F87596"/>
    <w:rsid w:val="3A070207"/>
    <w:rsid w:val="3A1337DE"/>
    <w:rsid w:val="3A257350"/>
    <w:rsid w:val="3A661366"/>
    <w:rsid w:val="3AA7755A"/>
    <w:rsid w:val="3ADC22FB"/>
    <w:rsid w:val="3AFA2B35"/>
    <w:rsid w:val="3B035ADC"/>
    <w:rsid w:val="3B3A08FF"/>
    <w:rsid w:val="3B481CB1"/>
    <w:rsid w:val="3BA76E8E"/>
    <w:rsid w:val="3BAB20EB"/>
    <w:rsid w:val="3BB22DB3"/>
    <w:rsid w:val="3BD230E7"/>
    <w:rsid w:val="3BE473AB"/>
    <w:rsid w:val="3BE537C9"/>
    <w:rsid w:val="3BEE5B89"/>
    <w:rsid w:val="3BF33A92"/>
    <w:rsid w:val="3C6B7ACC"/>
    <w:rsid w:val="3CDC62D4"/>
    <w:rsid w:val="3CE016F0"/>
    <w:rsid w:val="3CF9058A"/>
    <w:rsid w:val="3CFA0891"/>
    <w:rsid w:val="3CFF2475"/>
    <w:rsid w:val="3D2C725B"/>
    <w:rsid w:val="3DE01722"/>
    <w:rsid w:val="3E16165D"/>
    <w:rsid w:val="3E642677"/>
    <w:rsid w:val="3E6B5C9F"/>
    <w:rsid w:val="3EB1372F"/>
    <w:rsid w:val="3F0E0B5F"/>
    <w:rsid w:val="3F3F7814"/>
    <w:rsid w:val="3F6E40A7"/>
    <w:rsid w:val="3FB81C2B"/>
    <w:rsid w:val="3FFF921E"/>
    <w:rsid w:val="40185875"/>
    <w:rsid w:val="402FFF25"/>
    <w:rsid w:val="40883ECB"/>
    <w:rsid w:val="409A0980"/>
    <w:rsid w:val="409E221E"/>
    <w:rsid w:val="40AB26AE"/>
    <w:rsid w:val="41232723"/>
    <w:rsid w:val="41303CD8"/>
    <w:rsid w:val="4142683A"/>
    <w:rsid w:val="415F4868"/>
    <w:rsid w:val="423876CD"/>
    <w:rsid w:val="425F31E3"/>
    <w:rsid w:val="42796B71"/>
    <w:rsid w:val="427D5E63"/>
    <w:rsid w:val="42CE7C74"/>
    <w:rsid w:val="430640AA"/>
    <w:rsid w:val="43081BD1"/>
    <w:rsid w:val="433F02A4"/>
    <w:rsid w:val="4354492D"/>
    <w:rsid w:val="435E5C94"/>
    <w:rsid w:val="43602FBC"/>
    <w:rsid w:val="438356EA"/>
    <w:rsid w:val="43A01E09"/>
    <w:rsid w:val="43AE09CA"/>
    <w:rsid w:val="43C14131"/>
    <w:rsid w:val="43EFCB7B"/>
    <w:rsid w:val="43F73771"/>
    <w:rsid w:val="44071E88"/>
    <w:rsid w:val="441A66A7"/>
    <w:rsid w:val="443669CD"/>
    <w:rsid w:val="445236A0"/>
    <w:rsid w:val="44573BF4"/>
    <w:rsid w:val="446133C7"/>
    <w:rsid w:val="44686C74"/>
    <w:rsid w:val="44F248E6"/>
    <w:rsid w:val="450158F8"/>
    <w:rsid w:val="452A34BE"/>
    <w:rsid w:val="452B604A"/>
    <w:rsid w:val="454341EB"/>
    <w:rsid w:val="457C4F0E"/>
    <w:rsid w:val="45967968"/>
    <w:rsid w:val="45A229E6"/>
    <w:rsid w:val="45B95404"/>
    <w:rsid w:val="45D03728"/>
    <w:rsid w:val="45F77C70"/>
    <w:rsid w:val="45F946EE"/>
    <w:rsid w:val="461E170B"/>
    <w:rsid w:val="46AC4F69"/>
    <w:rsid w:val="46AC70AE"/>
    <w:rsid w:val="46BB51AC"/>
    <w:rsid w:val="46D87B0C"/>
    <w:rsid w:val="47002793"/>
    <w:rsid w:val="472335EA"/>
    <w:rsid w:val="473821F7"/>
    <w:rsid w:val="478C2E49"/>
    <w:rsid w:val="47A81BD4"/>
    <w:rsid w:val="47C6290A"/>
    <w:rsid w:val="47CB1590"/>
    <w:rsid w:val="47CF47B4"/>
    <w:rsid w:val="47F941DE"/>
    <w:rsid w:val="481608EC"/>
    <w:rsid w:val="482673DB"/>
    <w:rsid w:val="484511D1"/>
    <w:rsid w:val="48F063A0"/>
    <w:rsid w:val="49227D30"/>
    <w:rsid w:val="49502276"/>
    <w:rsid w:val="49543DC1"/>
    <w:rsid w:val="49C44E4D"/>
    <w:rsid w:val="49D00F6E"/>
    <w:rsid w:val="49D1675E"/>
    <w:rsid w:val="49D8F5ED"/>
    <w:rsid w:val="49F619EE"/>
    <w:rsid w:val="4A3B6D2F"/>
    <w:rsid w:val="4A8E6E5F"/>
    <w:rsid w:val="4ACF5476"/>
    <w:rsid w:val="4AD30D16"/>
    <w:rsid w:val="4B3C60C1"/>
    <w:rsid w:val="4B4B6AFE"/>
    <w:rsid w:val="4B9F983A"/>
    <w:rsid w:val="4BC73087"/>
    <w:rsid w:val="4BFF8AA5"/>
    <w:rsid w:val="4C2765DC"/>
    <w:rsid w:val="4C28506E"/>
    <w:rsid w:val="4C392DFB"/>
    <w:rsid w:val="4C4A5008"/>
    <w:rsid w:val="4C9861AC"/>
    <w:rsid w:val="4CCF077F"/>
    <w:rsid w:val="4CF11927"/>
    <w:rsid w:val="4CFE15DF"/>
    <w:rsid w:val="4D17545D"/>
    <w:rsid w:val="4D4E5714"/>
    <w:rsid w:val="4D7FDE93"/>
    <w:rsid w:val="4D8049A6"/>
    <w:rsid w:val="4DB03590"/>
    <w:rsid w:val="4E057B27"/>
    <w:rsid w:val="4E0833CC"/>
    <w:rsid w:val="4E113D5B"/>
    <w:rsid w:val="4E451F2B"/>
    <w:rsid w:val="4E6A262B"/>
    <w:rsid w:val="4E9C49D4"/>
    <w:rsid w:val="4EC310A1"/>
    <w:rsid w:val="4EE80B08"/>
    <w:rsid w:val="4F2269B4"/>
    <w:rsid w:val="4F2766A5"/>
    <w:rsid w:val="4F416B96"/>
    <w:rsid w:val="4F45051A"/>
    <w:rsid w:val="4F5F7A87"/>
    <w:rsid w:val="4F835269"/>
    <w:rsid w:val="4F9667B6"/>
    <w:rsid w:val="4F9F705B"/>
    <w:rsid w:val="4FB8194C"/>
    <w:rsid w:val="4FFC2ABD"/>
    <w:rsid w:val="50633354"/>
    <w:rsid w:val="511F4DAD"/>
    <w:rsid w:val="51254295"/>
    <w:rsid w:val="51501312"/>
    <w:rsid w:val="51583D23"/>
    <w:rsid w:val="519134D4"/>
    <w:rsid w:val="51DA0BDC"/>
    <w:rsid w:val="523A34B8"/>
    <w:rsid w:val="52567447"/>
    <w:rsid w:val="529C2335"/>
    <w:rsid w:val="52EF6FE5"/>
    <w:rsid w:val="52F42171"/>
    <w:rsid w:val="53146370"/>
    <w:rsid w:val="535A6478"/>
    <w:rsid w:val="5368163F"/>
    <w:rsid w:val="536E5A80"/>
    <w:rsid w:val="53EF028C"/>
    <w:rsid w:val="543F11CA"/>
    <w:rsid w:val="545F5432"/>
    <w:rsid w:val="547D7D42"/>
    <w:rsid w:val="54996B2C"/>
    <w:rsid w:val="54A31759"/>
    <w:rsid w:val="54B716A8"/>
    <w:rsid w:val="54CA663D"/>
    <w:rsid w:val="5523289A"/>
    <w:rsid w:val="55306988"/>
    <w:rsid w:val="556C48A4"/>
    <w:rsid w:val="55775D04"/>
    <w:rsid w:val="558772CD"/>
    <w:rsid w:val="55C67DF5"/>
    <w:rsid w:val="55E81727"/>
    <w:rsid w:val="55EE7A31"/>
    <w:rsid w:val="560E3510"/>
    <w:rsid w:val="56295954"/>
    <w:rsid w:val="563950C2"/>
    <w:rsid w:val="566118CC"/>
    <w:rsid w:val="56F77E83"/>
    <w:rsid w:val="5726041F"/>
    <w:rsid w:val="57626F04"/>
    <w:rsid w:val="57833AC4"/>
    <w:rsid w:val="57A743FC"/>
    <w:rsid w:val="57D05FA1"/>
    <w:rsid w:val="581F62B2"/>
    <w:rsid w:val="58C44394"/>
    <w:rsid w:val="58CF19F3"/>
    <w:rsid w:val="59034EBC"/>
    <w:rsid w:val="59653481"/>
    <w:rsid w:val="59A65848"/>
    <w:rsid w:val="59C4289D"/>
    <w:rsid w:val="59C97EB4"/>
    <w:rsid w:val="5A0A3FA2"/>
    <w:rsid w:val="5A2C23E6"/>
    <w:rsid w:val="5A31665B"/>
    <w:rsid w:val="5A3966BC"/>
    <w:rsid w:val="5A6F6391"/>
    <w:rsid w:val="5AC42429"/>
    <w:rsid w:val="5ACA4637"/>
    <w:rsid w:val="5AD375E1"/>
    <w:rsid w:val="5AD84127"/>
    <w:rsid w:val="5AD92379"/>
    <w:rsid w:val="5AF30F60"/>
    <w:rsid w:val="5AF51CED"/>
    <w:rsid w:val="5B0942E0"/>
    <w:rsid w:val="5B262652"/>
    <w:rsid w:val="5B270BF7"/>
    <w:rsid w:val="5B736241"/>
    <w:rsid w:val="5B7B3430"/>
    <w:rsid w:val="5B7B471F"/>
    <w:rsid w:val="5B816452"/>
    <w:rsid w:val="5BB70B41"/>
    <w:rsid w:val="5BFC55C2"/>
    <w:rsid w:val="5C462FD0"/>
    <w:rsid w:val="5C5B0B6B"/>
    <w:rsid w:val="5C627FA7"/>
    <w:rsid w:val="5CF214D0"/>
    <w:rsid w:val="5D183247"/>
    <w:rsid w:val="5D5C103F"/>
    <w:rsid w:val="5D723828"/>
    <w:rsid w:val="5DAE71B8"/>
    <w:rsid w:val="5DEB5F1F"/>
    <w:rsid w:val="5E714676"/>
    <w:rsid w:val="5E7A79CF"/>
    <w:rsid w:val="5ECE8A86"/>
    <w:rsid w:val="5F381D8D"/>
    <w:rsid w:val="5F4B223A"/>
    <w:rsid w:val="5F4F45A2"/>
    <w:rsid w:val="5F5025AD"/>
    <w:rsid w:val="5F5BDE9C"/>
    <w:rsid w:val="5F7128E1"/>
    <w:rsid w:val="5F75047E"/>
    <w:rsid w:val="5FB41C1C"/>
    <w:rsid w:val="5FFB5337"/>
    <w:rsid w:val="5FFE483C"/>
    <w:rsid w:val="60065292"/>
    <w:rsid w:val="60996106"/>
    <w:rsid w:val="60BD6476"/>
    <w:rsid w:val="60CC2038"/>
    <w:rsid w:val="614839E1"/>
    <w:rsid w:val="615B3A1F"/>
    <w:rsid w:val="61736957"/>
    <w:rsid w:val="6198016C"/>
    <w:rsid w:val="622B0FE0"/>
    <w:rsid w:val="62FF53D2"/>
    <w:rsid w:val="63043D0B"/>
    <w:rsid w:val="63387E58"/>
    <w:rsid w:val="633F4D43"/>
    <w:rsid w:val="63758BA8"/>
    <w:rsid w:val="63E304CD"/>
    <w:rsid w:val="63F57AF7"/>
    <w:rsid w:val="641937E6"/>
    <w:rsid w:val="64A358F5"/>
    <w:rsid w:val="64C51278"/>
    <w:rsid w:val="64E8140A"/>
    <w:rsid w:val="64FD4EB5"/>
    <w:rsid w:val="653B78CE"/>
    <w:rsid w:val="657F1D6E"/>
    <w:rsid w:val="658630FD"/>
    <w:rsid w:val="658663D8"/>
    <w:rsid w:val="65951FA6"/>
    <w:rsid w:val="65A672FB"/>
    <w:rsid w:val="65CC4888"/>
    <w:rsid w:val="65D82875"/>
    <w:rsid w:val="65E9368C"/>
    <w:rsid w:val="65FB0D76"/>
    <w:rsid w:val="666576B0"/>
    <w:rsid w:val="66931839"/>
    <w:rsid w:val="66990C0E"/>
    <w:rsid w:val="66E31FE8"/>
    <w:rsid w:val="66E71EDC"/>
    <w:rsid w:val="6712276E"/>
    <w:rsid w:val="67123464"/>
    <w:rsid w:val="67DB2997"/>
    <w:rsid w:val="686A21E8"/>
    <w:rsid w:val="68EC6827"/>
    <w:rsid w:val="68EE2646"/>
    <w:rsid w:val="691E2A2E"/>
    <w:rsid w:val="694201DF"/>
    <w:rsid w:val="6951757E"/>
    <w:rsid w:val="69FA19C4"/>
    <w:rsid w:val="6A0E1913"/>
    <w:rsid w:val="6A3A7C4D"/>
    <w:rsid w:val="6A5A06B4"/>
    <w:rsid w:val="6A773014"/>
    <w:rsid w:val="6A962B9E"/>
    <w:rsid w:val="6AC90B84"/>
    <w:rsid w:val="6ACE6FE3"/>
    <w:rsid w:val="6B1E7EAE"/>
    <w:rsid w:val="6B364C7D"/>
    <w:rsid w:val="6B466851"/>
    <w:rsid w:val="6B5E41D4"/>
    <w:rsid w:val="6B9876E6"/>
    <w:rsid w:val="6BC00553"/>
    <w:rsid w:val="6BDCD24B"/>
    <w:rsid w:val="6BEC507A"/>
    <w:rsid w:val="6C347F9C"/>
    <w:rsid w:val="6C68355C"/>
    <w:rsid w:val="6C8111E6"/>
    <w:rsid w:val="6CB57E24"/>
    <w:rsid w:val="6CB72345"/>
    <w:rsid w:val="6CC462B9"/>
    <w:rsid w:val="6CD13207"/>
    <w:rsid w:val="6CD429A0"/>
    <w:rsid w:val="6CEE4A78"/>
    <w:rsid w:val="6D1F1741"/>
    <w:rsid w:val="6D634A21"/>
    <w:rsid w:val="6D8B7813"/>
    <w:rsid w:val="6D8D0DA1"/>
    <w:rsid w:val="6D965EA7"/>
    <w:rsid w:val="6DA560EA"/>
    <w:rsid w:val="6DC14302"/>
    <w:rsid w:val="6DDB175D"/>
    <w:rsid w:val="6DF77F4F"/>
    <w:rsid w:val="6E2B56C9"/>
    <w:rsid w:val="6E342E69"/>
    <w:rsid w:val="6EB1753A"/>
    <w:rsid w:val="6EDC5B3C"/>
    <w:rsid w:val="6EDF562C"/>
    <w:rsid w:val="6EE175F6"/>
    <w:rsid w:val="6F210A08"/>
    <w:rsid w:val="6F2659B3"/>
    <w:rsid w:val="6F35349E"/>
    <w:rsid w:val="6F3A3B86"/>
    <w:rsid w:val="6F63E7C6"/>
    <w:rsid w:val="6F9957DB"/>
    <w:rsid w:val="6FA32AFD"/>
    <w:rsid w:val="6FD256EB"/>
    <w:rsid w:val="6FD77B10"/>
    <w:rsid w:val="6FD840B6"/>
    <w:rsid w:val="6FDC38C7"/>
    <w:rsid w:val="6FEB8D91"/>
    <w:rsid w:val="6FFFF4B4"/>
    <w:rsid w:val="70076AF5"/>
    <w:rsid w:val="704509FA"/>
    <w:rsid w:val="7060356D"/>
    <w:rsid w:val="70E60EF4"/>
    <w:rsid w:val="70EC47EA"/>
    <w:rsid w:val="71145A61"/>
    <w:rsid w:val="71171986"/>
    <w:rsid w:val="715F2A54"/>
    <w:rsid w:val="716342F2"/>
    <w:rsid w:val="7164007E"/>
    <w:rsid w:val="71B05F80"/>
    <w:rsid w:val="71B25BD1"/>
    <w:rsid w:val="71C54FAD"/>
    <w:rsid w:val="72161365"/>
    <w:rsid w:val="727FCF5E"/>
    <w:rsid w:val="72C76B03"/>
    <w:rsid w:val="72DB4C16"/>
    <w:rsid w:val="730822EC"/>
    <w:rsid w:val="731955B0"/>
    <w:rsid w:val="732C6966"/>
    <w:rsid w:val="736F344E"/>
    <w:rsid w:val="7377749A"/>
    <w:rsid w:val="73824C94"/>
    <w:rsid w:val="739F3332"/>
    <w:rsid w:val="73BC44CF"/>
    <w:rsid w:val="73F92CEC"/>
    <w:rsid w:val="7416389E"/>
    <w:rsid w:val="743106D8"/>
    <w:rsid w:val="744F170E"/>
    <w:rsid w:val="74A76BEC"/>
    <w:rsid w:val="752E4C17"/>
    <w:rsid w:val="75995625"/>
    <w:rsid w:val="75B30292"/>
    <w:rsid w:val="75D04372"/>
    <w:rsid w:val="75D86516"/>
    <w:rsid w:val="765B2B74"/>
    <w:rsid w:val="76805946"/>
    <w:rsid w:val="768F7938"/>
    <w:rsid w:val="76CE3237"/>
    <w:rsid w:val="76E33B2F"/>
    <w:rsid w:val="76FFDB83"/>
    <w:rsid w:val="77040B90"/>
    <w:rsid w:val="77884AB3"/>
    <w:rsid w:val="77A6699A"/>
    <w:rsid w:val="77BD44B0"/>
    <w:rsid w:val="77C74EAF"/>
    <w:rsid w:val="77D18C68"/>
    <w:rsid w:val="77DF0877"/>
    <w:rsid w:val="77FF748E"/>
    <w:rsid w:val="77FFD9DE"/>
    <w:rsid w:val="7842145D"/>
    <w:rsid w:val="785A618E"/>
    <w:rsid w:val="785E5B29"/>
    <w:rsid w:val="78727511"/>
    <w:rsid w:val="792B3A4C"/>
    <w:rsid w:val="7936053E"/>
    <w:rsid w:val="79646E59"/>
    <w:rsid w:val="79977241"/>
    <w:rsid w:val="79BFC20E"/>
    <w:rsid w:val="79CBCFE1"/>
    <w:rsid w:val="79D325EB"/>
    <w:rsid w:val="79DA25B9"/>
    <w:rsid w:val="7A2C5541"/>
    <w:rsid w:val="7A2F1838"/>
    <w:rsid w:val="7A9C2097"/>
    <w:rsid w:val="7ACB7B48"/>
    <w:rsid w:val="7AD63D87"/>
    <w:rsid w:val="7AE069B4"/>
    <w:rsid w:val="7AF6B596"/>
    <w:rsid w:val="7AFB1ED8"/>
    <w:rsid w:val="7B0E1773"/>
    <w:rsid w:val="7B226739"/>
    <w:rsid w:val="7B47E59C"/>
    <w:rsid w:val="7B4D5AFB"/>
    <w:rsid w:val="7B7F725D"/>
    <w:rsid w:val="7B954C24"/>
    <w:rsid w:val="7BBA0F66"/>
    <w:rsid w:val="7BDF3934"/>
    <w:rsid w:val="7BEFF522"/>
    <w:rsid w:val="7BF47C3B"/>
    <w:rsid w:val="7C3541D5"/>
    <w:rsid w:val="7C87076C"/>
    <w:rsid w:val="7CEBD6C8"/>
    <w:rsid w:val="7CF20871"/>
    <w:rsid w:val="7CF247CE"/>
    <w:rsid w:val="7CF56277"/>
    <w:rsid w:val="7CF7511A"/>
    <w:rsid w:val="7CF75D18"/>
    <w:rsid w:val="7CFD3958"/>
    <w:rsid w:val="7D171D18"/>
    <w:rsid w:val="7D423956"/>
    <w:rsid w:val="7D5176F5"/>
    <w:rsid w:val="7D56B7D1"/>
    <w:rsid w:val="7D692C90"/>
    <w:rsid w:val="7D7C26E0"/>
    <w:rsid w:val="7D9F9DDB"/>
    <w:rsid w:val="7DA64827"/>
    <w:rsid w:val="7DBE1355"/>
    <w:rsid w:val="7DBE1671"/>
    <w:rsid w:val="7DDF072A"/>
    <w:rsid w:val="7DDFD0E1"/>
    <w:rsid w:val="7DE929EE"/>
    <w:rsid w:val="7DF34C50"/>
    <w:rsid w:val="7E04316F"/>
    <w:rsid w:val="7E1E7F1F"/>
    <w:rsid w:val="7E2B43EA"/>
    <w:rsid w:val="7E617E0B"/>
    <w:rsid w:val="7E7FF8BA"/>
    <w:rsid w:val="7E8B6FD4"/>
    <w:rsid w:val="7E9F5847"/>
    <w:rsid w:val="7EBCB40B"/>
    <w:rsid w:val="7EDC3936"/>
    <w:rsid w:val="7EE759B1"/>
    <w:rsid w:val="7EFF0162"/>
    <w:rsid w:val="7EFFBFFB"/>
    <w:rsid w:val="7F2318BF"/>
    <w:rsid w:val="7F3CD0A7"/>
    <w:rsid w:val="7F3D2627"/>
    <w:rsid w:val="7F427C3D"/>
    <w:rsid w:val="7F53DE06"/>
    <w:rsid w:val="7F571FC1"/>
    <w:rsid w:val="7F77ADD2"/>
    <w:rsid w:val="7F8A1942"/>
    <w:rsid w:val="7F8B13B0"/>
    <w:rsid w:val="7FB83A5B"/>
    <w:rsid w:val="7FBFA190"/>
    <w:rsid w:val="7FF01957"/>
    <w:rsid w:val="7FF61424"/>
    <w:rsid w:val="7FFCFF22"/>
    <w:rsid w:val="7FFF149D"/>
    <w:rsid w:val="8AEFCFFF"/>
    <w:rsid w:val="8BD352A7"/>
    <w:rsid w:val="8DDF8225"/>
    <w:rsid w:val="8EFF3FE9"/>
    <w:rsid w:val="9D27837E"/>
    <w:rsid w:val="9E575294"/>
    <w:rsid w:val="9EB85C83"/>
    <w:rsid w:val="A7ACAB4A"/>
    <w:rsid w:val="A9DDBB61"/>
    <w:rsid w:val="AABCA72C"/>
    <w:rsid w:val="ABE2270A"/>
    <w:rsid w:val="B7AFFB69"/>
    <w:rsid w:val="BA99523D"/>
    <w:rsid w:val="BB5B5C46"/>
    <w:rsid w:val="BC6644DA"/>
    <w:rsid w:val="BCFB34FA"/>
    <w:rsid w:val="BDD1AA9C"/>
    <w:rsid w:val="BE9FD570"/>
    <w:rsid w:val="BEFA2979"/>
    <w:rsid w:val="BF3CB0B0"/>
    <w:rsid w:val="BF6E48DD"/>
    <w:rsid w:val="BFB3E486"/>
    <w:rsid w:val="BFBFF463"/>
    <w:rsid w:val="BFD38C62"/>
    <w:rsid w:val="BFDB826A"/>
    <w:rsid w:val="BFF3F759"/>
    <w:rsid w:val="CA9F9D74"/>
    <w:rsid w:val="CB7BE96C"/>
    <w:rsid w:val="CC6E70F8"/>
    <w:rsid w:val="CEAF078F"/>
    <w:rsid w:val="CF6F4FFC"/>
    <w:rsid w:val="CFF3F7AD"/>
    <w:rsid w:val="CFFDF71A"/>
    <w:rsid w:val="D3BF388D"/>
    <w:rsid w:val="D7BF4C5C"/>
    <w:rsid w:val="D997E59B"/>
    <w:rsid w:val="D9ED0579"/>
    <w:rsid w:val="DAA51224"/>
    <w:rsid w:val="DB367CA7"/>
    <w:rsid w:val="DBEF10CB"/>
    <w:rsid w:val="DBFFEA76"/>
    <w:rsid w:val="DDBB8E1C"/>
    <w:rsid w:val="DDFF808C"/>
    <w:rsid w:val="DEDF60A2"/>
    <w:rsid w:val="DF9FA4C2"/>
    <w:rsid w:val="DFDB0BCE"/>
    <w:rsid w:val="DFDD4828"/>
    <w:rsid w:val="E61D7656"/>
    <w:rsid w:val="E753C58D"/>
    <w:rsid w:val="E7FF53BB"/>
    <w:rsid w:val="E7FF9873"/>
    <w:rsid w:val="EBDD91D1"/>
    <w:rsid w:val="EBFE358B"/>
    <w:rsid w:val="EDF7D102"/>
    <w:rsid w:val="EF7FA670"/>
    <w:rsid w:val="F1E9C6AB"/>
    <w:rsid w:val="F2FF13BF"/>
    <w:rsid w:val="F3BEC970"/>
    <w:rsid w:val="F3EBD35A"/>
    <w:rsid w:val="F3F35430"/>
    <w:rsid w:val="F53FEE65"/>
    <w:rsid w:val="F6BB1C87"/>
    <w:rsid w:val="F6FE4645"/>
    <w:rsid w:val="F7FEED5C"/>
    <w:rsid w:val="F9DA867E"/>
    <w:rsid w:val="FB79F853"/>
    <w:rsid w:val="FBF6B65E"/>
    <w:rsid w:val="FD880157"/>
    <w:rsid w:val="FDFE89E7"/>
    <w:rsid w:val="FE3FB9B8"/>
    <w:rsid w:val="FEBBE25B"/>
    <w:rsid w:val="FEBFABE5"/>
    <w:rsid w:val="FEE34D10"/>
    <w:rsid w:val="FEEE09B3"/>
    <w:rsid w:val="FEFEFF02"/>
    <w:rsid w:val="FEFF174B"/>
    <w:rsid w:val="FF1F4290"/>
    <w:rsid w:val="FF2F97A5"/>
    <w:rsid w:val="FF5DE836"/>
    <w:rsid w:val="FF9706D6"/>
    <w:rsid w:val="FFA4AC33"/>
    <w:rsid w:val="FFACF2F1"/>
    <w:rsid w:val="FFB0C7A7"/>
    <w:rsid w:val="FFB37316"/>
    <w:rsid w:val="FFBDF72A"/>
    <w:rsid w:val="FFBE089A"/>
    <w:rsid w:val="FFBEB8B6"/>
    <w:rsid w:val="FFDE9FDD"/>
    <w:rsid w:val="FFE592A4"/>
    <w:rsid w:val="FFF61605"/>
    <w:rsid w:val="FFFE0A99"/>
    <w:rsid w:val="FFFEA5A4"/>
    <w:rsid w:val="FFFF4769"/>
    <w:rsid w:val="FFFF5CC5"/>
    <w:rsid w:val="FFFF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autoRedefine/>
    <w:unhideWhenUsed/>
    <w:qFormat/>
    <w:uiPriority w:val="9"/>
    <w:pPr>
      <w:spacing w:before="320" w:after="120"/>
      <w:jc w:val="center"/>
      <w:outlineLvl w:val="4"/>
    </w:pPr>
    <w:rPr>
      <w:caps/>
      <w:color w:val="622423"/>
      <w:spacing w:val="10"/>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Body Text 3"/>
    <w:basedOn w:val="1"/>
    <w:autoRedefine/>
    <w:unhideWhenUsed/>
    <w:qFormat/>
    <w:uiPriority w:val="99"/>
    <w:pPr>
      <w:spacing w:after="120" w:afterLines="0" w:afterAutospacing="0"/>
    </w:pPr>
    <w:rPr>
      <w:sz w:val="16"/>
    </w:rPr>
  </w:style>
  <w:style w:type="paragraph" w:styleId="4">
    <w:name w:val="Body Text"/>
    <w:basedOn w:val="1"/>
    <w:next w:val="5"/>
    <w:autoRedefine/>
    <w:qFormat/>
    <w:uiPriority w:val="99"/>
    <w:pPr>
      <w:spacing w:after="120"/>
    </w:pPr>
    <w:rPr>
      <w:rFonts w:ascii="Calibri" w:hAnsi="Calibri" w:eastAsia="宋体" w:cs="Times New Roman"/>
      <w:szCs w:val="24"/>
    </w:rPr>
  </w:style>
  <w:style w:type="paragraph" w:styleId="5">
    <w:name w:val="Body Text First Indent 2"/>
    <w:basedOn w:val="4"/>
    <w:next w:val="4"/>
    <w:autoRedefine/>
    <w:qFormat/>
    <w:uiPriority w:val="0"/>
    <w:pPr>
      <w:widowControl/>
      <w:ind w:firstLine="420" w:firstLineChars="200"/>
      <w:jc w:val="left"/>
    </w:pPr>
    <w:rPr>
      <w:sz w:val="21"/>
    </w:rPr>
  </w:style>
  <w:style w:type="paragraph" w:styleId="6">
    <w:name w:val="Body Text Indent"/>
    <w:basedOn w:val="1"/>
    <w:autoRedefine/>
    <w:qFormat/>
    <w:uiPriority w:val="0"/>
    <w:pPr>
      <w:widowControl w:val="0"/>
      <w:spacing w:line="240" w:lineRule="auto"/>
      <w:ind w:firstLine="555"/>
      <w:textAlignment w:val="auto"/>
    </w:pPr>
    <w:rPr>
      <w:rFonts w:ascii="仿宋_GB2312" w:hAnsi="Gungsuh" w:eastAsia="仿宋_GB2312"/>
      <w:color w:val="auto"/>
      <w:kern w:val="2"/>
      <w:sz w:val="28"/>
      <w:szCs w:val="24"/>
      <w:u w:val="none" w:color="auto"/>
    </w:rPr>
  </w:style>
  <w:style w:type="paragraph" w:styleId="7">
    <w:name w:val="Plain Text"/>
    <w:basedOn w:val="1"/>
    <w:autoRedefine/>
    <w:qFormat/>
    <w:uiPriority w:val="0"/>
    <w:rPr>
      <w:rFonts w:ascii="宋体" w:hAnsi="Courier New"/>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9"/>
    <w:next w:val="1"/>
    <w:autoRedefine/>
    <w:qFormat/>
    <w:uiPriority w:val="0"/>
    <w:pPr>
      <w:widowControl w:val="0"/>
      <w:ind w:left="3360"/>
      <w:jc w:val="both"/>
    </w:pPr>
    <w:rPr>
      <w:rFonts w:ascii="Calibri" w:hAnsi="Calibri" w:eastAsia="宋体" w:cs="Times New Roman"/>
      <w:kern w:val="2"/>
      <w:sz w:val="21"/>
      <w:szCs w:val="24"/>
      <w:lang w:val="en-US" w:eastAsia="zh-CN" w:bidi="ar-SA"/>
    </w:rPr>
  </w:style>
  <w:style w:type="paragraph" w:styleId="11">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2">
    <w:name w:val="Title"/>
    <w:basedOn w:val="1"/>
    <w:next w:val="1"/>
    <w:autoRedefine/>
    <w:qFormat/>
    <w:uiPriority w:val="0"/>
    <w:pPr>
      <w:jc w:val="center"/>
      <w:outlineLvl w:val="0"/>
    </w:pPr>
    <w:rPr>
      <w:rFonts w:ascii="Arial" w:hAnsi="Arial"/>
      <w:b/>
      <w:sz w:val="32"/>
    </w:rPr>
  </w:style>
  <w:style w:type="character" w:styleId="15">
    <w:name w:val="Strong"/>
    <w:basedOn w:val="14"/>
    <w:autoRedefine/>
    <w:qFormat/>
    <w:uiPriority w:val="0"/>
    <w:rPr>
      <w:b/>
    </w:rPr>
  </w:style>
  <w:style w:type="paragraph" w:customStyle="1" w:styleId="16">
    <w:name w:val="BodyTextIndent"/>
    <w:basedOn w:val="1"/>
    <w:autoRedefine/>
    <w:qFormat/>
    <w:uiPriority w:val="0"/>
    <w:pPr>
      <w:spacing w:after="120"/>
      <w:ind w:left="200" w:leftChars="200"/>
    </w:pPr>
  </w:style>
  <w:style w:type="paragraph" w:customStyle="1" w:styleId="17">
    <w:name w:val="p0"/>
    <w:autoRedefine/>
    <w:qFormat/>
    <w:uiPriority w:val="0"/>
    <w:pPr>
      <w:jc w:val="both"/>
    </w:pPr>
    <w:rPr>
      <w:rFonts w:ascii="Times New Roman" w:hAnsi="Calibri" w:eastAsia="宋体" w:cs="Times New Roman"/>
      <w:sz w:val="21"/>
      <w:szCs w:val="24"/>
      <w:lang w:val="en-US" w:eastAsia="zh-CN" w:bidi="ar-SA"/>
    </w:rPr>
  </w:style>
  <w:style w:type="paragraph" w:customStyle="1" w:styleId="1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p15"/>
    <w:basedOn w:val="1"/>
    <w:autoRedefine/>
    <w:qFormat/>
    <w:uiPriority w:val="0"/>
    <w:pPr>
      <w:widowControl/>
    </w:pPr>
    <w:rPr>
      <w:kern w:val="0"/>
      <w:szCs w:val="21"/>
    </w:rPr>
  </w:style>
  <w:style w:type="character" w:customStyle="1" w:styleId="20">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styleId="21">
    <w:name w:val="List Paragraph"/>
    <w:basedOn w:val="1"/>
    <w:autoRedefine/>
    <w:qFormat/>
    <w:uiPriority w:val="99"/>
    <w:pPr>
      <w:ind w:firstLine="420" w:firstLineChars="200"/>
    </w:pPr>
  </w:style>
  <w:style w:type="paragraph" w:styleId="22">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23">
    <w:name w:val="fontstyle01"/>
    <w:basedOn w:val="14"/>
    <w:autoRedefine/>
    <w:qFormat/>
    <w:uiPriority w:val="0"/>
    <w:rPr>
      <w:rFonts w:hint="eastAsia" w:ascii="宋体" w:hAnsi="宋体" w:eastAsia="宋体"/>
      <w:color w:val="000000"/>
      <w:sz w:val="36"/>
      <w:szCs w:val="36"/>
    </w:rPr>
  </w:style>
  <w:style w:type="paragraph" w:customStyle="1" w:styleId="24">
    <w:name w:val="样式 黑体 小三 深蓝 行距: 1.5 倍行距"/>
    <w:basedOn w:val="1"/>
    <w:autoRedefine/>
    <w:qFormat/>
    <w:uiPriority w:val="0"/>
    <w:pPr>
      <w:widowControl w:val="0"/>
      <w:spacing w:line="360" w:lineRule="auto"/>
      <w:ind w:firstLine="600" w:firstLineChars="200"/>
      <w:textAlignment w:val="auto"/>
    </w:pPr>
    <w:rPr>
      <w:rFonts w:ascii="黑体" w:hAnsi="宋体" w:eastAsia="黑体" w:cs="宋体"/>
      <w:color w:val="FF00FF"/>
      <w:kern w:val="2"/>
      <w:sz w:val="30"/>
      <w:szCs w:val="30"/>
      <w:u w:val="none" w:color="auto"/>
    </w:rPr>
  </w:style>
  <w:style w:type="paragraph" w:customStyle="1" w:styleId="25">
    <w:name w:val="正文首行缩进 21"/>
    <w:basedOn w:val="26"/>
    <w:next w:val="11"/>
    <w:autoRedefine/>
    <w:qFormat/>
    <w:uiPriority w:val="0"/>
    <w:pPr>
      <w:ind w:left="200" w:leftChars="200" w:firstLine="200" w:firstLineChars="200"/>
    </w:pPr>
    <w:rPr>
      <w:rFonts w:ascii="Times New Roman" w:hAnsi="Times New Roman" w:eastAsia="宋体" w:cs="Times New Roman"/>
      <w:szCs w:val="24"/>
    </w:rPr>
  </w:style>
  <w:style w:type="paragraph" w:customStyle="1" w:styleId="26">
    <w:name w:val="正文文本缩进1"/>
    <w:basedOn w:val="1"/>
    <w:autoRedefine/>
    <w:qFormat/>
    <w:uiPriority w:val="0"/>
    <w:pPr>
      <w:ind w:left="200" w:leftChars="200"/>
    </w:pPr>
  </w:style>
  <w:style w:type="paragraph" w:customStyle="1" w:styleId="27">
    <w:name w:val="UserStyle_0"/>
    <w:basedOn w:val="1"/>
    <w:autoRedefine/>
    <w:qFormat/>
    <w:uiPriority w:val="0"/>
    <w:pPr>
      <w:spacing w:after="120"/>
      <w:ind w:left="200" w:leftChars="200"/>
      <w:textAlignment w:val="baseline"/>
    </w:pPr>
    <w:rPr>
      <w:rFonts w:ascii="Times New Roman" w:hAnsi="Times New Roman" w:eastAsia="宋体" w:cs="Times New Roman"/>
      <w:szCs w:val="20"/>
    </w:rPr>
  </w:style>
  <w:style w:type="paragraph" w:customStyle="1" w:styleId="28">
    <w:name w:val="TableOfAuthoring"/>
    <w:basedOn w:val="1"/>
    <w:next w:val="1"/>
    <w:autoRedefine/>
    <w:qFormat/>
    <w:uiPriority w:val="0"/>
    <w:pPr>
      <w:ind w:left="200" w:leftChars="200"/>
    </w:pPr>
    <w:rPr>
      <w:rFonts w:ascii="Calibri" w:hAnsi="Calibri" w:eastAsia="宋体"/>
      <w:szCs w:val="32"/>
    </w:rPr>
  </w:style>
  <w:style w:type="paragraph" w:customStyle="1" w:styleId="29">
    <w:name w:val="Default"/>
    <w:autoRedefine/>
    <w:qFormat/>
    <w:uiPriority w:val="0"/>
    <w:pPr>
      <w:widowControl w:val="0"/>
      <w:autoSpaceDE w:val="0"/>
      <w:autoSpaceDN w:val="0"/>
      <w:adjustRightInd w:val="0"/>
      <w:spacing w:line="560" w:lineRule="exact"/>
      <w:ind w:firstLine="150" w:firstLineChars="150"/>
    </w:pPr>
    <w:rPr>
      <w:rFonts w:ascii="宋体" w:hAnsi="Calibri" w:eastAsia="宋体" w:cs="宋体"/>
      <w:color w:val="000000"/>
      <w:sz w:val="24"/>
      <w:szCs w:val="24"/>
      <w:lang w:val="en-US" w:eastAsia="zh-CN" w:bidi="ar-SA"/>
    </w:rPr>
  </w:style>
  <w:style w:type="character" w:customStyle="1" w:styleId="30">
    <w:name w:val="font41"/>
    <w:basedOn w:val="14"/>
    <w:qFormat/>
    <w:uiPriority w:val="0"/>
    <w:rPr>
      <w:rFonts w:ascii="Calibri" w:hAnsi="Calibri" w:cs="Calibri"/>
      <w:color w:val="000000"/>
      <w:sz w:val="24"/>
      <w:szCs w:val="24"/>
      <w:u w:val="none"/>
    </w:rPr>
  </w:style>
  <w:style w:type="character" w:customStyle="1" w:styleId="31">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280</Words>
  <Characters>295</Characters>
  <Lines>0</Lines>
  <Paragraphs>0</Paragraphs>
  <TotalTime>19</TotalTime>
  <ScaleCrop>false</ScaleCrop>
  <LinksUpToDate>false</LinksUpToDate>
  <CharactersWithSpaces>295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2021-01-17T00:51:00Z</dcterms:created>
  <dc:creator>WPS_1528641651</dc:creator>
  <cp:lastModifiedBy>Meng+-*</cp:lastModifiedBy>
  <cp:lastPrinted>2025-11-23T03:37:00Z</cp:lastPrinted>
  <dcterms:modified xsi:type="dcterms:W3CDTF">2026-01-23T17:49:11Z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401382A514AE41F480DAEA8B47008255_13</vt:lpwstr>
  </property>
  <property fmtid="{D5CDD505-2E9C-101B-9397-08002B2CF9AE}" pid="4" name="commondata">
    <vt:lpwstr>eyJoZGlkIjoiYmM4NDNjN2I2ZTYyZmZkNmRhZjhlN2E1ZDllYzhhN2MifQ==</vt:lpwstr>
  </property>
  <property fmtid="{D5CDD505-2E9C-101B-9397-08002B2CF9AE}" pid="5" name="KSOTemplateDocerSaveRecord">
    <vt:lpwstr>eyJoZGlkIjoiMzRiMTlkNzBiMGU5NjIzMTUwZjkzN2ZkMTlmMWJjMDAifQ==</vt:lpwstr>
  </property>
</Properties>
</file>