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6"/>
          <w:szCs w:val="36"/>
        </w:rPr>
        <w:t>襄垣县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6"/>
          <w:szCs w:val="36"/>
          <w:lang w:val="en-US" w:eastAsia="zh-CN"/>
        </w:rPr>
        <w:t>能源局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6"/>
          <w:szCs w:val="36"/>
        </w:rPr>
        <w:t>年度法治政府建设工作报告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2022年，在县委、县政府的正确领导下，紧密结合我局职能职责，坚持以习近平新时代中国特色社会主义思想为指导，深入贯彻学习党的十九大、二中、三中、四中、五中全会精神和习近平总书记视察山西重要讲话重要指示精神，按照推进依法行政，创建法治政府的总体目标，围绕中心，服务大局，多措并举，狠抓落实，推进法治政府各项工作有序开展，依法行政体制机制进一步完善，政府各项工作法治化、规范化水平进一步提升，法治政府建设取得新进展，协同推进全面建设社会主义现代化国家、全面深化改革、全面依法治国，积极推进能源消费、供给、技术、体制革命。现将有关情况报告如下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 w:rightChars="0" w:firstLine="642" w:firstLineChars="200"/>
        <w:jc w:val="both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工作开展情况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 w:rightChars="0" w:firstLine="642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（一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）强化学习，提升履职能力。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局领导班子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带头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深入学习《习近平谈治国理政》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习近平总书记重要讲话精神，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/>
        </w:rPr>
        <w:t>组织党员干部进行党史学习教育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，要求全体党员做到学史明理、学史增信、学史崇德、学史力行，通过交流讨论强调党员的初心与使命，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系统学习习近平总书记关于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能源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工作重要讲话指示批示，通过专题辅导、发放学习资料、观看视频等形式对新修订的《中华人民共和国宪法》《中华人民共和国民法典》进行了学习，组织全体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人员参加了学法用法无纸化考试，开展了“12·4”国家宪法日宣传周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和节约能源法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系列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；同时，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针对机关改革职能转变的实际，对学习行业法律法规作出计划，要求各科室利用空余时间组织学习与业务相关的法律法规，如《电力法》《石油天然气管道保护法》《节约能源法》《中华人民共和国安全生产法》《煤炭法》《山西省电力设施保护条例》《煤矿安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监察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条例》等法律法规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对于2021年修改实施的新法《中华人民共和国安全生产法》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进行了重点学习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编印了《电力与新能源法规政策文件汇编》、《节能法律法规及能耗限额标准汇编》发放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有关企业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推动全体党员干部在学懂、弄通、做实上下功夫，并贯彻到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能源管理行政执法检查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工作全过程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充分利用各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股室组织的行业专题会议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，对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能源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做了法律法规的宣传和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培训，使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全县能源企业对以上法律法规增强了法律意识和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敬畏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法律的自觉性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 w:rightChars="0" w:firstLine="642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）加强组织领导，专题研究部署。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成立了由局长任组长的普法法治建设工作领导组，稳扎稳打，普法工作常态化、制度化，夯实了党政主要负责人履行推进法治政府建设第一责任人职责，把党的领导贯彻到法治政府建设全过程各方面，为法治政府建设提供了强有力的政治保障和组织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2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（三）加强重点领域行政执法。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完善跟进重点明确了山西省“互联网+监管”系统监管事项检查实施清单中监管子项均予以明确，对协同相关机构配合检查的实施措施也做了详细规定；年初确定了行政执法检查计划，加强目标责任落实、完善执法计划，做到各股室行政执法有目标，有计划，全年顺利按计划完成了全年的执法计划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畅通沟通渠道，着力解决行业反应强烈、群众普遍关心的问题，回应群众诉求。进一步完善了工作机制，规范了执法程序，加大了违法查出力度。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 w:rightChars="0" w:firstLine="642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建立法律顾问制度。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推行法律顾问制度，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聘请山西理冠律师事务所专职律师马鹏荣，担任能源局法律顾问，参与了我局行政审查案件的法律事务，完善规范法治建设工作，为我局行政决策、执法程序等提供法律意见或建议。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 w:rightChars="0" w:firstLine="642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（五）加强法治教育培训。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严格落实“谁执法谁普法”要求，组织全局7名执法人员参加行政执法法律知识培训，定期进行业务学习与交流，提升执法人员 的业务水平，行政执法队伍的整体素质和执法水平明显提升，加强行政执法人员证件验审和申办工作，全面落实7名行政执法人员持证上岗和资格管理制度，严格按照法定的执法权限和执法程序，落实以人为本的执法观念，保护人民群众的根本利益，在执法工作中做到执法不越权、不越位，以确保行政行为的合法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both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、存在问题和下一步打算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能源局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在推进法治政府建设方面取得了一定成效，但与经济社会发展的新形势新任务新要求仍存在一些问题和不足，主要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全民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节约能源法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治意识仍比较淡薄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节约能源计划性不强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长期存在执法检查“宽松软”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今后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将依法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法律手段和措施打击能源违法行为，加强对高耗能企业违法生产的整治，为能源行业依法生产创造更规范的执法环境与生产环境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将坚持以习近平新时代中国特色社会主义思想为指导，围绕中心、服务大局，全面持续落实法治政府建设各项规定，进一步落实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能源行业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法治政府建设主体责任，完善学法用法制度，加强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能源行业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法律法规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的普法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宣传教育；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/>
        </w:rPr>
        <w:t>积极执行国家能源部门的政策与计划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，持续提高依法治理水平，全面落实行政执法责任制，加强重点领域治理，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能源行业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行政行为，进一步提升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能源行业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法治政府建设水平。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446" w:firstLineChars="1702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襄垣县能源局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126" w:firstLineChars="1602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2022年2月24日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jFmNjY0YTJjMzVjZWVkMmFlMTUxMDA0OTA4MTAifQ=="/>
  </w:docVars>
  <w:rsids>
    <w:rsidRoot w:val="00000000"/>
    <w:rsid w:val="097950B4"/>
    <w:rsid w:val="37CC55C0"/>
    <w:rsid w:val="4EF5E8B9"/>
    <w:rsid w:val="5A8A1127"/>
    <w:rsid w:val="5DED0548"/>
    <w:rsid w:val="60031A36"/>
    <w:rsid w:val="63EF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1845</Words>
  <Characters>1867</Characters>
  <Paragraphs>14</Paragraphs>
  <TotalTime>129</TotalTime>
  <ScaleCrop>false</ScaleCrop>
  <LinksUpToDate>false</LinksUpToDate>
  <CharactersWithSpaces>1873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2021-03-15T23:43:00Z</dcterms:created>
  <dc:creator>丽丽</dc:creator>
  <cp:lastModifiedBy>user</cp:lastModifiedBy>
  <cp:lastPrinted>2022-02-25T16:53:00Z</cp:lastPrinted>
  <dcterms:modified xsi:type="dcterms:W3CDTF">2023-08-21T11:20:22Z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3ED4572B18304BEA8371A4D6EF3ACD7F</vt:lpwstr>
  </property>
</Properties>
</file>