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center"/>
        <w:rPr>
          <w:b w:val="1"/>
          <w:sz w:val="44"/>
          <w:lang w:eastAsia="zh-CN"/>
          <w:bCs/>
          <w:szCs w:val="44"/>
          <w:rFonts w:ascii="方正粗黑宋简体" w:hAnsi="方正粗黑宋简体" w:eastAsia="方正粗黑宋简体" w:hint="eastAsia"/>
        </w:rPr>
      </w:pPr>
      <w:r>
        <w:rPr>
          <w:b w:val="1"/>
          <w:sz w:val="44"/>
          <w:lang w:eastAsia="zh-CN"/>
          <w:bCs/>
          <w:szCs w:val="44"/>
          <w:rFonts w:ascii="方正粗黑宋简体" w:hAnsi="方正粗黑宋简体" w:eastAsia="方正粗黑宋简体" w:hint="eastAsia"/>
        </w:rPr>
        <w:t>开元社区幸福养老工程简介</w:t>
      </w:r>
    </w:p>
    <w:p>
      <w:pPr>
        <w:jc w:val="center"/>
        <w:rPr>
          <w:sz w:val="44"/>
          <w:lang w:eastAsia="zh-CN"/>
          <w:szCs w:val="44"/>
          <w:rFonts w:ascii="方正粗黑宋简体" w:hAnsi="方正粗黑宋简体" w:eastAsia="方正粗黑宋简体" w:hint="eastAsia"/>
        </w:rPr>
      </w:pPr>
    </w:p>
    <w:p>
      <w:pPr>
        <w:jc w:val="both"/>
        <w:ind w:firstLine="640" w:firstLineChars="200"/>
        <w:rPr>
          <w:sz w:val="32"/>
          <w:szCs w:val="32"/>
          <w:rFonts w:ascii="仿宋_GB2312" w:hAnsi="仿宋_GB2312" w:eastAsia="仿宋_GB2312" w:hint="eastAsia"/>
        </w:rPr>
      </w:pPr>
      <w:r>
        <w:rPr>
          <w:sz w:val="32"/>
          <w:lang w:val="en-US" w:eastAsia="zh-CN"/>
          <w:szCs w:val="32"/>
          <w:rFonts w:ascii="仿宋_GB2312" w:hAnsi="仿宋_GB2312" w:eastAsia="仿宋_GB2312" w:hint="eastAsia"/>
        </w:rPr>
        <w:t>襄垣县</w:t>
      </w:r>
      <w:r>
        <w:rPr>
          <w:sz w:val="32"/>
          <w:szCs w:val="32"/>
          <w:rFonts w:ascii="仿宋_GB2312" w:hAnsi="仿宋_GB2312" w:eastAsia="仿宋_GB2312" w:hint="eastAsia"/>
        </w:rPr>
        <w:t>古韩镇开元社区于2004年成立，面积4.12平方公里，辖</w:t>
      </w:r>
      <w:r>
        <w:rPr>
          <w:sz w:val="32"/>
          <w:lang w:val="en-US" w:eastAsia="zh-CN"/>
          <w:szCs w:val="32"/>
          <w:rFonts w:ascii="仿宋_GB2312" w:hAnsi="仿宋_GB2312" w:eastAsia="仿宋_GB2312" w:hint="eastAsia"/>
        </w:rPr>
        <w:t>27</w:t>
      </w:r>
      <w:r>
        <w:rPr>
          <w:sz w:val="32"/>
          <w:szCs w:val="32"/>
          <w:rFonts w:ascii="仿宋_GB2312" w:hAnsi="仿宋_GB2312" w:eastAsia="仿宋_GB2312" w:hint="eastAsia"/>
        </w:rPr>
        <w:t>个网格</w:t>
      </w:r>
      <w:r>
        <w:rPr>
          <w:sz w:val="32"/>
          <w:lang w:val="en-US" w:eastAsia="zh-CN"/>
          <w:szCs w:val="32"/>
          <w:rFonts w:ascii="仿宋_GB2312" w:hAnsi="仿宋_GB2312" w:eastAsia="仿宋_GB2312" w:hint="eastAsia"/>
        </w:rPr>
        <w:t>112栋楼，共5665</w:t>
      </w:r>
      <w:r>
        <w:rPr>
          <w:sz w:val="32"/>
          <w:szCs w:val="32"/>
          <w:rFonts w:ascii="仿宋_GB2312" w:hAnsi="仿宋_GB2312" w:eastAsia="仿宋_GB2312" w:hint="eastAsia"/>
        </w:rPr>
        <w:t>户</w:t>
      </w:r>
      <w:r>
        <w:rPr>
          <w:sz w:val="32"/>
          <w:lang w:val="en-US" w:eastAsia="zh-CN"/>
          <w:szCs w:val="32"/>
          <w:rFonts w:ascii="仿宋_GB2312" w:hAnsi="仿宋_GB2312" w:eastAsia="仿宋_GB2312" w:hint="eastAsia"/>
        </w:rPr>
        <w:t>16500</w:t>
      </w:r>
      <w:r>
        <w:rPr>
          <w:sz w:val="32"/>
          <w:szCs w:val="32"/>
          <w:rFonts w:ascii="仿宋_GB2312" w:hAnsi="仿宋_GB2312" w:eastAsia="仿宋_GB2312" w:hint="eastAsia"/>
        </w:rPr>
        <w:t>余人，</w:t>
      </w:r>
      <w:r>
        <w:rPr>
          <w:sz w:val="32"/>
          <w:lang w:val="en-US" w:eastAsia="zh-CN"/>
          <w:szCs w:val="32"/>
          <w:rFonts w:ascii="仿宋_GB2312" w:hAnsi="仿宋_GB2312" w:eastAsia="仿宋_GB2312" w:hint="eastAsia"/>
        </w:rPr>
        <w:t>其中，</w:t>
      </w:r>
      <w:r>
        <w:rPr>
          <w:rStyle w:val="7"/>
          <w:b w:val="0"/>
          <w:sz w:val="32"/>
          <w:lang w:val="en-US" w:eastAsia="zh-CN"/>
          <w:bCs/>
          <w:szCs w:val="32"/>
          <w:rFonts w:ascii="仿宋_GB2312" w:hAnsi="仿宋_GB2312" w:eastAsia="仿宋_GB2312" w:hint="eastAsia"/>
        </w:rPr>
        <w:t>60岁以上人口占比20%，80岁以上占比8%。</w:t>
      </w:r>
    </w:p>
    <w:p>
      <w:pPr>
        <w:jc w:val="both"/>
        <w:ind w:firstLine="640" w:firstLineChars="200"/>
        <w:rPr>
          <w:rStyle w:val="7"/>
          <w:b w:val="0"/>
          <w:sz w:val="32"/>
          <w:lang w:val="en-US" w:eastAsia="zh-CN"/>
          <w:bCs/>
          <w:szCs w:val="32"/>
          <w:rFonts w:ascii="仿宋_GB2312" w:hAnsi="仿宋_GB2312" w:eastAsia="仿宋_GB2312" w:hint="eastAsia"/>
        </w:rPr>
      </w:pPr>
      <w:bookmarkStart w:id="0" w:name="_GoBack"/>
      <w:bookmarkEnd w:id="0"/>
      <w:r>
        <w:rPr>
          <w:rStyle w:val="7"/>
          <w:b w:val="0"/>
          <w:sz w:val="32"/>
          <w:lang w:val="en-US" w:eastAsia="zh-CN"/>
          <w:bCs/>
          <w:szCs w:val="32"/>
          <w:rFonts w:ascii="仿宋_GB2312" w:hAnsi="仿宋_GB2312" w:eastAsia="仿宋_GB2312" w:hint="eastAsia"/>
        </w:rPr>
        <w:t>开元社区养老服务中心是我县今年建设的全县首家省级社区幸福养老工程，建筑面积1200㎡，概算投资300万元，设置床位25张，分为七区十室，一层为接待咨询区、助餐服务区、综合办公区，设有厨房、餐厅、茶吧、办公室、值班室；二层为红色传承区、休闲娱乐区、康复健身区、托养休息区，设有书画室、阅览室、健身室、心理疏导室、康复理疗室，可以为县城居民提供方便可及的助医、助养、助餐、助洁、助急、助行等“六助”服务，着力构建社区“15分钟养老服务圈”，让社区居民的幸福感更持续、获得感更强。</w:t>
      </w:r>
    </w:p>
    <w:sectPr>
      <w:docGrid w:type="lines" w:linePitch="312" w:charSpace="0"/>
      <w:pgSz w:w="11906" w:h="16838"/>
      <w:pgMar w:top="1701" w:right="1701" w:bottom="1701" w:left="1701" w:header="851" w:footer="992" w:gutter="0"/>
      <w:cols w:space="720"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efaultTabStop w:val="420"/>
  <w:displayHorizontalDrawingGridEvery w:val="0"/>
  <w:displayVerticalDrawingGridEvery w:val="2"/>
  <w:zoom w:percent="100"/>
  <w:compat>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00000"/>
    <w:rsid w:val="06A70BF4"/>
    <w:rsid w:val="194901EF"/>
    <w:rsid w:val="27B435B3"/>
    <w:rsid w:val="374A5928"/>
    <w:rsid w:val="4C6542BB"/>
    <w:rsid w:val="7536625B"/>
    <w:rsid w:val="7BF40183"/>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Calibri" w:hAnsi="Calibri" w:eastAsia="宋体" w:cs="Times New Roman"/>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unhideWhenUsed="0"/>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unhideWhenUsed="0"/>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lsdException w:name="Normal (Web)" w:uiPriority="0" w:semiHidden="0" w:unhideWhenUsed="0"/>
    <w:lsdException w:name="Normal Indent" w:uiPriority="0" w:semiHidden="0" w:unhideWhenUsed="0"/>
    <w:lsdException w:name="Normal Table" w:uiPriority="0" w:unhideWhenUsed="0"/>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lsdException w:name="footnote reference" w:uiPriority="0" w:semiHidden="0" w:unhideWhenUsed="0"/>
    <w:lsdException w:name="footnote text" w:uiPriority="0" w:semiHidden="0" w:unhideWhenUsed="0"/>
    <w:lsdException w:name="header" w:uiPriority="0" w:semiHidden="0" w:unhideWhenUsed="0"/>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link w:val="5"/>
    <w:uiPriority w:val="0"/>
    <w:pPr>
      <w:jc w:val="both"/>
      <w:widowControl w:val="0"/>
    </w:pPr>
    <w:rPr>
      <w:sz w:val="21"/>
      <w:lang w:val="en-US" w:eastAsia="zh-CN" w:bidi="ar-SA"/>
      <w:kern w:val="2"/>
      <w:szCs w:val="24"/>
      <w:rFonts w:ascii="Calibri" w:hAnsi="Calibri" w:eastAsia="宋体" w:cs="Times New Roman"/>
    </w:rPr>
  </w:style>
  <w:style w:type="character" w:styleId="3" w:default="1">
    <w:name w:val="Default Paragraph Font"/>
    <w:uiPriority w:val="0"/>
    <w:semiHidden/>
  </w:style>
  <w:style w:type="table" w:styleId="2" w:default="1">
    <w:name w:val="Normal Table"/>
    <w:uiPriority w:val="0"/>
    <w:semiHidden/>
    <w:tblPr>
      <w:tblCellMar>
        <w:top w:type="dxa" w:w="0.000000"/>
        <w:bottom w:type="dxa" w:w="0.000000"/>
        <w:left w:type="dxa" w:w="108.000000"/>
        <w:right w:type="dxa" w:w="108.000000"/>
      </w:tblCellMar>
    </w:tblPr>
  </w:style>
  <w:style w:type="paragraph" w:styleId="4" w:customStyle="1">
    <w:name w:val="标题 11"/>
    <w:basedOn w:val="1"/>
    <w:link w:val="7"/>
    <w:uiPriority w:val="0"/>
    <w:qFormat/>
    <w:pPr>
      <w:keepNext w:val="1"/>
      <w:keepLines w:val="1"/>
      <w:outlineLvl w:val="0"/>
      <w:spacing w:after="330" w:afterAutospacing="0" w:before="340" w:beforeAutospacing="0" w:line="576" w:lineRule="auto"/>
    </w:pPr>
    <w:rPr>
      <w:b w:val="1"/>
      <w:sz w:val="44"/>
      <w:kern w:val="44"/>
    </w:rPr>
  </w:style>
  <w:style w:type="character" w:styleId="5" w:customStyle="1">
    <w:name w:val="默认段落字体1"/>
    <w:link w:val="1"/>
    <w:uiPriority w:val="0"/>
    <w:semiHidden/>
    <w:qFormat/>
  </w:style>
  <w:style w:type="table" w:styleId="6" w:customStyle="1">
    <w:name w:val="普通表格1"/>
    <w:uiPriority w:val="0"/>
    <w:semiHidden/>
    <w:qFormat/>
  </w:style>
  <w:style w:type="character" w:styleId="7" w:customStyle="1">
    <w:name w:val="标题 1 Char"/>
    <w:link w:val="4"/>
    <w:uiPriority w:val="0"/>
    <w:rPr>
      <w:b w:val="1"/>
      <w:sz w:val="44"/>
      <w:kern w:val="44"/>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3" Type="http://schemas.openxmlformats.org/officeDocument/2006/relationships/theme" Target="theme/theme1.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blurRad="40000" a:dist="20000" a:dir="5400000" a:rotWithShape="0">
              <a:srgbClr val="000000">
                <a:alpha val="38000"/>
              </a:srgbClr>
            </a:outerShdw>
          </a:effectLst>
        </a:effectStyle>
        <a:effectStyle>
          <a:effectLst>
            <a:outerShdw a:blurRad="40000" a:dist="23000" a:dir="5400000" a:rotWithShape="0">
              <a:srgbClr val="000000">
                <a:alpha val="35000"/>
              </a:srgbClr>
            </a:outerShdw>
          </a:effectLst>
        </a:effectStyle>
        <a:effectStyle>
          <a:effectLst>
            <a:outerShdw a:blurRad="40000" a:dist="23000" a:dir="5400000" a: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
  <TotalTime>24</TotalTime>
  <Pages>0</Pages>
  <Words>0</Words>
  <Characters>0</Characters>
  <Application>WPS Office_12.1.0.15712_F1E327BC-269C-435d-A152-05C5408002CA</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风雨无阻</dc:creator>
  <cp:keywords/>
  <dc:description/>
  <cp:lastModifiedBy>小鸟依人</cp:lastModifiedBy>
  <cp:revision>0</cp:revision>
  <dcterms:created xsi:type="dcterms:W3CDTF">2023-10-28T03:00:00Z</dcterms:created>
  <dcterms:modified xsi:type="dcterms:W3CDTF">2023-11-13T04:08:07Z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DDDE09C7A8C04B03B37B0A66744DC2DC_13</vt:lpwstr>
  </property>
</Properties>
</file>