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9" w:lineRule="atLeast"/>
        <w:ind w:left="0" w:right="0"/>
        <w:jc w:val="center"/>
        <w:rPr>
          <w:rFonts w:ascii="FZLanTingHei-B-GBK" w:hAnsi="FZLanTingHei-B-GBK" w:eastAsia="FZLanTingHei-B-GBK" w:cs="FZLanTingHei-B-GBK"/>
          <w:color w:val="auto"/>
          <w:sz w:val="48"/>
          <w:szCs w:val="48"/>
        </w:rPr>
      </w:pPr>
      <w:bookmarkStart w:id="0" w:name="_GoBack"/>
      <w:r>
        <w:rPr>
          <w:rFonts w:hint="default" w:ascii="FZLanTingHei-B-GBK" w:hAnsi="FZLanTingHei-B-GBK" w:eastAsia="FZLanTingHei-B-GBK" w:cs="FZLanTingHei-B-GBK"/>
          <w:i w:val="0"/>
          <w:iCs w:val="0"/>
          <w:caps w:val="0"/>
          <w:color w:val="auto"/>
          <w:spacing w:val="0"/>
          <w:sz w:val="48"/>
          <w:szCs w:val="48"/>
          <w:bdr w:val="none" w:color="auto" w:sz="0" w:space="0"/>
          <w:shd w:val="clear" w:fill="FFFFFF"/>
        </w:rPr>
        <w:t>养老机构投资指南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一、投资审批条件及依据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(一)举办人是依法成立的组织或者具有完全民事行为能力的自然人;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(二)有符合规定的名称、住所、机构章程和管理制度;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(三)有符合规范和技术标准，符合国家环境保护、消防安全、卫生防疫等要求的基本生活用房、设施设备和活动场地;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(四)有与开展服务相适应的管理人员、专业技术人员和服务人员;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(五)有与服务内容和规模相适应的资金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依据：《中华人民共和国老年人权益保障法》、《民政部养老机构管理办法》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二、投资审批流程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（一）不再实施养老机构设立许可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自新修改的《老年人权益保障法》发布之日起，各地民政部门不再受理养老机构设立许可申请，实行备案管理制。尚未完成审批的，应当终止审批并向申请人作出说明。已经取得养老机构设立许可证且在有效期的仍然有效，设立许可证有效期届满后，不再换发许可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（二）法人登记工作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1.设立民办非营利性养老机构。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消养老机构设立许可后，举办者设立民办非营利性养老机构，按照属地管理原则，由民政部门作为主管单位，依据《民办非企业单位登记管理暂行条例》规定，依法向所在地民政部门或审批机关申请社会服务机构法人登记，对批准成立登记的民办非营利性养老机构，实行双重管理体制。所属地民政负责社会组织登记部门履行登记管理机关具体职责，负责养老服务业务部门履行业务主管单位具体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450" w:firstLine="420"/>
        <w:jc w:val="both"/>
        <w:rPr>
          <w:color w:val="4D4D4D"/>
          <w:sz w:val="27"/>
          <w:szCs w:val="27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2.设立民办经营性养老机构。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取消养老机构设立许可后，举办者设立经营性养老机构，依法向所在地市场监督管理部门申请企业法人登记。对批准成立登记的民办经营性养老机构，实行双重管理体制。所属地市场监管部门履行登记管理机关具体职责，民政部门履行业务主管单位具体职责。民政部门与市场监管部门通过信息推送、信息共享等机制对接，及时掌握养老机构企业法人登记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anTingHei-B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NTIwN2UwOTVhODQ5N2U0ZGFhMjg1MGZiNjkwZGMifQ=="/>
  </w:docVars>
  <w:rsids>
    <w:rsidRoot w:val="270732DD"/>
    <w:rsid w:val="270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2023-12-20T08:50:00Z</dcterms:created>
  <dc:creator>Administrator</dc:creator>
  <cp:lastModifiedBy>Administrator</cp:lastModifiedBy>
  <dcterms:modified xsi:type="dcterms:W3CDTF">2023-12-20T08:50:53Z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E6BDB395D0854E60BA4A9ABE8B4BC13E_11</vt:lpwstr>
  </property>
</Properties>
</file>