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襄垣县民政局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2022年行政执法检查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51"/>
          <w:szCs w:val="5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为进一步规范行政执法行为，坚持公正、公平、文明、阳光执法，提高执法效率，促进依法行政，依据《山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西省行政执法监督条例》的规定，按照上级相关要求，现制定我局2022年度行政执法监督检查计划：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一、 检查主体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襄垣县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民政局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val="en-US" w:eastAsia="zh-CN"/>
        </w:rPr>
        <w:t>二、工作原则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9" w:lineRule="atLeast"/>
        <w:ind w:left="0" w:right="0" w:firstLine="56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1、依法检查、公开透明、公正合理、廉洁高效的原则。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9" w:lineRule="atLeast"/>
        <w:ind w:left="0" w:right="0" w:firstLine="56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2、突出重点、全面覆盖的原则。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9" w:lineRule="atLeas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三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、检查时间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年1月1日至202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年12月31日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四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、执法检查依据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《中华人民共和国行政处罚法》《中华人民共和国慈善法》《社会团体登记管理条例》《民办非企业单位登记管理暂行条例》《志愿服务条例》《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山西省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殡葬管理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》《养老机构管理办法》《彩票管理条例》《行政区域界线管理条例》等民政领域的法律、法规、规章。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五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、 检查方式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依据职权在社会救助、社会组织、殡葬、养老、福利彩票、行政区划等领域开展行政执法检查。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对社会团体、民办非企业单位等管理对象采取日常检查和双随机抽查方式；对养老机构、公益性公墓、殡仪馆、彩票销售站点、社会救助对象、行政界桩等管理对象采取日常检查和专项检查相结合的方式。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六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、管理对象基数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以20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年底管理对象数据作为年度管理对象基数。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七</w:t>
      </w:r>
      <w:r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、检查比例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　　严格按照“三、执法检查依据”中所列明的法律、法规、规章等规定的比例开展检查，双随机抽查按照不少于5%的比例开展。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357A9"/>
    <w:rsid w:val="2BC0751E"/>
    <w:rsid w:val="59E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2022-03-15T01:39:00Z</dcterms:created>
  <dc:creator>Administrator</dc:creator>
  <cp:lastModifiedBy>Administrator</cp:lastModifiedBy>
  <dcterms:modified xsi:type="dcterms:W3CDTF">2022-03-22T07:51:57Z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A472C2355B674FC38000294F1D884108</vt:lpwstr>
  </property>
</Properties>
</file>