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  <w:t>襄垣县民政局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年行政执法检查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51"/>
          <w:szCs w:val="5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为进一步规范行政执法行为，坚持公正、公平、文明、阳光执法，提高执法效率，促进依法行政，依据《山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西省行政执法监督条例》的规定，按照上级相关要求，现制定我局202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年度行政执法监督检查计划：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一、 检查主体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襄垣县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民政局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val="en-US" w:eastAsia="zh-CN"/>
        </w:rPr>
        <w:t>二、工作原则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9" w:lineRule="atLeast"/>
        <w:ind w:left="0" w:right="0" w:firstLine="56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1、依法检查、公开透明、公正合理、廉洁高效的原则。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9" w:lineRule="atLeast"/>
        <w:ind w:left="0" w:right="0" w:firstLine="56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2、突出重点、全面覆盖的原则。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9" w:lineRule="atLeas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三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、检查时间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年1月1日至202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年12月31日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四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、执法检查依据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《中华人民共和国行政处罚法》《中华人民共和国慈善法》《社会团体登记管理条例》《民办非企业单位登记管理暂行条例》《志愿服务条例》《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山西省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殡葬管理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》《养老机构管理办法》《彩票管理条例》《行政区域界线管理条例》等民政领域的法律、法规、规章。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五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、 检查方式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依据职权在社会救助、社会组织、殡葬、养老、福利彩票、行政区划等领域开展行政执法检查。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对社会团体、民办非企业单位等管理对象采取日常检查和双随机抽查方式；对养老机构、公益性公墓、殡仪馆、彩票销售站点、社会救助对象、行政界桩等管理对象采取日常检查和专项检查相结合的方式。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六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、管理对象基数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以20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年底管理对象数据作为年度管理对象基数。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七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、检查比例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严格按照“三、执法检查依据”中所列明的法律、法规、规章等规定的比例开展检查，双随机抽查按照不少于5%的比例开展。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NTIwN2UwOTVhODQ5N2U0ZGFhMjg1MGZiNjkwZGMifQ=="/>
  </w:docVars>
  <w:rsids>
    <w:rsidRoot w:val="00000000"/>
    <w:rsid w:val="0F3E69C7"/>
    <w:rsid w:val="11C357A9"/>
    <w:rsid w:val="2BC0751E"/>
    <w:rsid w:val="59E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2022-03-15T01:39:00Z</dcterms:created>
  <dc:creator>Administrator</dc:creator>
  <cp:lastModifiedBy>Administrator</cp:lastModifiedBy>
  <dcterms:modified xsi:type="dcterms:W3CDTF">2023-11-01T07:28:09Z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0D0673F66D044ACABEEEE865F27ADBAF_13</vt:lpwstr>
  </property>
</Properties>
</file>