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240" w:lineRule="auto"/>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2023年工作总结2024年工作谋划</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2023年12月31日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楷体" w:hAnsi="楷体" w:eastAsia="楷体" w:cs="楷体"/>
          <w:sz w:val="32"/>
          <w:szCs w:val="32"/>
          <w:lang w:val="en-US" w:eastAsia="zh-CN"/>
        </w:rPr>
        <w:t>襄垣县司法局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eastAsia="仿宋_GB2312" w:cs="仿宋_GB2312" w:hAnsiTheme="minorHAnsi"/>
          <w:kern w:val="2"/>
          <w:sz w:val="32"/>
          <w:szCs w:val="32"/>
          <w:lang w:val="en-US" w:eastAsia="zh-CN" w:bidi="ar"/>
        </w:rPr>
      </w:pPr>
      <w:r>
        <w:rPr>
          <w:rFonts w:hint="eastAsia" w:ascii="仿宋" w:hAnsi="仿宋" w:eastAsia="仿宋" w:cs="仿宋"/>
          <w:sz w:val="32"/>
          <w:szCs w:val="32"/>
          <w:lang w:val="en-US" w:eastAsia="zh-CN"/>
        </w:rPr>
        <w:t>2023年，县司法局紧紧围绕县委县政府工作部署，以筑牢政治安全、维护社会稳定、精准提供法律服务为抓手，着力夯基础、创特色、促发展，统筹推进依法治县、法治政府、法治社会一体建设，各项重点工作有序推进，为全县经济社会高质量发展提供了坚强的法治保障。</w:t>
      </w:r>
      <w:r>
        <w:rPr>
          <w:rFonts w:hint="default" w:ascii="仿宋_GB2312" w:eastAsia="仿宋_GB2312" w:cs="仿宋_GB2312" w:hAnsiTheme="minorHAnsi"/>
          <w:kern w:val="2"/>
          <w:sz w:val="32"/>
          <w:szCs w:val="32"/>
          <w:lang w:val="en-US" w:eastAsia="zh-CN" w:bidi="ar"/>
        </w:rPr>
        <w:t>现将工作情况总结如下：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60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获得荣誉：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textAlignment w:val="auto"/>
        <w:rPr>
          <w:rFonts w:hint="default" w:ascii="仿宋" w:hAnsi="仿宋" w:eastAsia="仿宋" w:cs="仿宋"/>
          <w:kern w:val="2"/>
          <w:sz w:val="32"/>
          <w:szCs w:val="32"/>
          <w:lang w:val="en-US" w:eastAsia="zh-CN" w:bidi="ar-SA"/>
        </w:rPr>
      </w:pPr>
      <w:r>
        <w:rPr>
          <w:rFonts w:hint="eastAsia" w:ascii="仿宋" w:hAnsi="仿宋" w:eastAsia="仿宋" w:cs="仿宋"/>
          <w:b w:val="0"/>
          <w:bCs w:val="0"/>
          <w:color w:val="auto"/>
          <w:spacing w:val="0"/>
          <w:kern w:val="2"/>
          <w:position w:val="0"/>
          <w:sz w:val="32"/>
          <w:szCs w:val="24"/>
          <w:shd w:val="clear" w:fill="auto"/>
          <w:lang w:val="en-US" w:eastAsia="zh-CN" w:bidi="ar-SA"/>
        </w:rPr>
        <w:t>10月8日，襄垣县夏店镇人民调解委员会调解员、夏店镇法律服务所基层法律服务工作者董立新荣获“全国模范人民调解员”称号。</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60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市级以上现场会、推进会：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5月29日，长治市司法局主办的“枫桥式”司法所创建暨社区矫正工作培训班在襄垣隆重举办，全市各县（区）司法局、各司法所共计150余人参加培训。省司法厅人民参与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1"/>
        <w:textAlignment w:val="auto"/>
        <w:rPr>
          <w:rFonts w:hint="eastAsia" w:ascii="仿宋" w:hAnsi="仿宋" w:eastAsia="仿宋" w:cs="仿宋"/>
          <w:b w:val="0"/>
          <w:bCs w:val="0"/>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和促进法治处处长王青元、省司法厅社区矫正处副处长韩冰，市司法局党组书记、局长苏先忠等有关领导出席。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8月1日，省政协副主席闫晨曦带队莅临襄垣县司法局，就“加快推进我省公共法律服务体系建设”和“加快打造市场化、法治化、国际化营商环境”进行专题调研。市政协副主席阎新平，县委书记李瑜，县政协主席侯慧萍，副县长、县公安局局长王建方，县政协副主席孙波参加调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12月29日，2023年度全市乡镇（街道）综合行政执法改革现场推进会在襄垣召开，市委组织部副部长吕志刚，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市委专项行动乡镇综合行政执法改革工作专班组长、市委编办主任段树新，市司法局党组书记、局长苏先忠，襄垣县委书记李瑜出席会议，全市各县（区）组织部、编办、司法局负责人及乡镇（街道）执法队共计100人参加会议。</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420" w:leftChars="200" w:firstLine="0" w:firstLine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主动争取省级、国家级资金情况：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7月27日，县司法局积极争取省司法厅社区矫正专项资金30万元。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
        </w:rPr>
        <w:t>二、</w:t>
      </w:r>
      <w:r>
        <w:rPr>
          <w:rFonts w:ascii="黑体" w:hAnsi="宋体" w:eastAsia="黑体" w:cs="黑体"/>
          <w:kern w:val="2"/>
          <w:sz w:val="32"/>
          <w:szCs w:val="32"/>
          <w:lang w:val="en-US" w:eastAsia="zh-CN" w:bidi="ar"/>
        </w:rPr>
        <w:t>主要工作开展情况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（一）坚持政治引领，严格履行主体责任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1.扎实开展主题教育。</w:t>
      </w:r>
      <w:r>
        <w:rPr>
          <w:rFonts w:hint="default" w:ascii="Times New Roman" w:hAnsi="Times New Roman" w:eastAsia="仿宋_GB2312" w:cs="Times New Roman"/>
          <w:sz w:val="32"/>
          <w:szCs w:val="32"/>
          <w:lang w:val="en-US" w:eastAsia="zh-CN"/>
        </w:rPr>
        <w:t>按照开展</w:t>
      </w:r>
      <w:bookmarkStart w:id="0" w:name="_GoBack"/>
      <w:bookmarkEnd w:id="0"/>
      <w:r>
        <w:rPr>
          <w:rFonts w:hint="default" w:ascii="Times New Roman" w:hAnsi="Times New Roman" w:eastAsia="仿宋_GB2312" w:cs="Times New Roman"/>
          <w:sz w:val="32"/>
          <w:szCs w:val="32"/>
          <w:lang w:val="en-US" w:eastAsia="zh-CN"/>
        </w:rPr>
        <w:t>学习贯彻习近平新时代中国特色社会主义思想主题教育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学思想、强党性、重实践、建新功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总要求，</w:t>
      </w:r>
      <w:r>
        <w:rPr>
          <w:rFonts w:hint="eastAsia" w:ascii="仿宋" w:hAnsi="仿宋" w:eastAsia="仿宋" w:cs="仿宋"/>
          <w:sz w:val="32"/>
          <w:szCs w:val="32"/>
          <w:lang w:val="en-US" w:eastAsia="zh-CN"/>
        </w:rPr>
        <w:t>严格落实理论学习中心组领学、周一集中学习、“三会一课”等制度；</w:t>
      </w:r>
      <w:r>
        <w:rPr>
          <w:rFonts w:hint="eastAsia" w:ascii="Times New Roman" w:hAnsi="Times New Roman" w:eastAsia="仿宋_GB2312" w:cs="Times New Roman"/>
          <w:sz w:val="32"/>
          <w:szCs w:val="32"/>
          <w:lang w:val="en-US" w:eastAsia="zh-CN"/>
        </w:rPr>
        <w:t>不断深化</w:t>
      </w:r>
      <w:r>
        <w:rPr>
          <w:rFonts w:hint="default" w:ascii="Times New Roman" w:hAnsi="Times New Roman" w:eastAsia="仿宋_GB2312" w:cs="Times New Roman"/>
          <w:sz w:val="32"/>
          <w:szCs w:val="32"/>
          <w:lang w:val="en-US" w:eastAsia="zh-CN"/>
        </w:rPr>
        <w:t>工作融合</w:t>
      </w:r>
      <w:r>
        <w:rPr>
          <w:rFonts w:hint="eastAsia" w:ascii="Times New Roman" w:hAnsi="Times New Roman" w:eastAsia="仿宋_GB2312" w:cs="Times New Roman"/>
          <w:sz w:val="32"/>
          <w:szCs w:val="32"/>
          <w:lang w:val="en-US" w:eastAsia="zh-CN"/>
        </w:rPr>
        <w:t>，把理论学习、推动发展、检视整改贯通起来，组织党员干部建言献策、学习榜样、为民服务。坚持</w:t>
      </w:r>
      <w:r>
        <w:rPr>
          <w:rFonts w:hint="default" w:ascii="Times New Roman" w:hAnsi="Times New Roman" w:eastAsia="仿宋_GB2312" w:cs="Times New Roman"/>
          <w:sz w:val="32"/>
          <w:szCs w:val="32"/>
          <w:lang w:val="en-US" w:eastAsia="zh-CN"/>
        </w:rPr>
        <w:t>抓好成果转化，切实将主题教育引向深入，</w:t>
      </w:r>
      <w:r>
        <w:rPr>
          <w:rFonts w:hint="eastAsia" w:ascii="Times New Roman" w:hAnsi="Times New Roman" w:eastAsia="仿宋_GB2312" w:cs="Times New Roman"/>
          <w:sz w:val="32"/>
          <w:szCs w:val="32"/>
          <w:lang w:val="en-US" w:eastAsia="zh-CN"/>
        </w:rPr>
        <w:t>全力促进全县司法行政工作高质量发展</w:t>
      </w:r>
      <w:r>
        <w:rPr>
          <w:rFonts w:hint="default" w:ascii="Times New Roman" w:hAnsi="Times New Roman"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2.严肃党内政治生活。</w:t>
      </w:r>
      <w:r>
        <w:rPr>
          <w:rFonts w:hint="eastAsia" w:ascii="仿宋" w:hAnsi="仿宋" w:eastAsia="仿宋" w:cs="仿宋"/>
          <w:sz w:val="32"/>
          <w:szCs w:val="32"/>
          <w:lang w:val="en-US" w:eastAsia="zh-CN"/>
        </w:rPr>
        <w:t>根据上级学习贯彻习近平新时代中国特色社会主义思想主题教育要求，按程序严格落实党员集中学习、交流研讨等规定动作。定期开展谈心谈话、民主评议党员、党员定期汇报、党员领导干部双重组织生活等制度，精心组织开展组织生活会和党员领导干部民主生活会，按照上级党委安排召开主题党日活动12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3.加强党风廉政建设。</w:t>
      </w:r>
      <w:r>
        <w:rPr>
          <w:rFonts w:hint="eastAsia" w:ascii="仿宋" w:hAnsi="仿宋" w:eastAsia="仿宋" w:cs="仿宋"/>
          <w:sz w:val="32"/>
          <w:szCs w:val="32"/>
          <w:lang w:val="en-US" w:eastAsia="zh-CN"/>
        </w:rPr>
        <w:t>按照“清廉襄垣”建设总体部署，层层签订《党风廉政建设责任书》，全力推动清廉机关创建示范点建设。</w:t>
      </w:r>
      <w:r>
        <w:rPr>
          <w:rFonts w:hint="eastAsia" w:ascii="仿宋" w:hAnsi="仿宋" w:eastAsia="仿宋" w:cs="仿宋"/>
          <w:i w:val="0"/>
          <w:iCs w:val="0"/>
          <w:caps w:val="0"/>
          <w:color w:val="333333"/>
          <w:spacing w:val="0"/>
          <w:sz w:val="32"/>
          <w:szCs w:val="32"/>
          <w:shd w:val="clear" w:fill="FFFFFF"/>
        </w:rPr>
        <w:t>定期召开党组会集体研究决策“三重一大”事项，不断推进机关日常管理规范化。</w:t>
      </w:r>
      <w:r>
        <w:rPr>
          <w:rFonts w:hint="eastAsia" w:ascii="仿宋" w:hAnsi="仿宋" w:eastAsia="仿宋" w:cs="仿宋"/>
          <w:sz w:val="32"/>
          <w:szCs w:val="32"/>
          <w:lang w:val="en-US" w:eastAsia="zh-CN"/>
        </w:rPr>
        <w:t>组织全体干警到廉政教育基地开展党性党风党纪轮训，提升廉洁意识，不断增强干警拒腐防变能力。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（二）聚焦依法行政，扎实推动法治政府建设</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1.严格规范性文件合法性审查。</w:t>
      </w:r>
      <w:r>
        <w:rPr>
          <w:rFonts w:hint="eastAsia" w:ascii="仿宋" w:hAnsi="仿宋" w:eastAsia="仿宋" w:cs="仿宋"/>
          <w:b w:val="0"/>
          <w:bCs w:val="0"/>
          <w:sz w:val="32"/>
          <w:szCs w:val="32"/>
          <w:lang w:val="en-US" w:eastAsia="zh-CN"/>
        </w:rPr>
        <w:t>严格落实规范性文件合法性审查制度规定，推进重大法律风险的准确识别、充分预判与事前控制。今年以来，审核县政府规范性文件6件，审核重大合同16件，审核政府会议纪要8份，出具合法性审核意见书43份。组织开展涉及黄河流域的规范性文件、涉及产权保护的政府规章和行政规范性文件等4次专项清理工作，整理报送2022年度规范性文件11件。认真开展规范性文件入库合法性审查工作，对38个单位出具行政规范性文件反馈意见书，共审核县级文件148件，部门文件9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2.深入行政执法协调监督试点。</w:t>
      </w:r>
      <w:r>
        <w:rPr>
          <w:rFonts w:hint="eastAsia" w:ascii="仿宋" w:hAnsi="仿宋" w:eastAsia="仿宋" w:cs="仿宋"/>
          <w:sz w:val="32"/>
          <w:szCs w:val="32"/>
          <w:lang w:val="en-US" w:eastAsia="zh-CN"/>
        </w:rPr>
        <w:t>组织9个镇、县直部门执法人员参加线上、线下综合行政执法培训，参训人员达2500人次，实现行政执法人员培训全覆盖。组织开展2023年度行政执法检查计划制定公开工作，报送5期行政执法数据月报，重大处罚备案162件，向县交警大队制发《执法监督建议书》1份，向市局报送执法典型案例5件。按程序</w:t>
      </w:r>
      <w:r>
        <w:rPr>
          <w:rFonts w:hint="default" w:ascii="仿宋" w:hAnsi="仿宋" w:eastAsia="仿宋" w:cs="仿宋"/>
          <w:sz w:val="32"/>
          <w:szCs w:val="32"/>
          <w:lang w:val="en-US" w:eastAsia="zh-CN"/>
        </w:rPr>
        <w:t>选聘</w:t>
      </w:r>
      <w:r>
        <w:rPr>
          <w:rFonts w:hint="eastAsia" w:ascii="仿宋" w:hAnsi="仿宋" w:eastAsia="仿宋" w:cs="仿宋"/>
          <w:sz w:val="32"/>
          <w:szCs w:val="32"/>
          <w:lang w:val="en-US" w:eastAsia="zh-CN"/>
        </w:rPr>
        <w:t>10名</w:t>
      </w:r>
      <w:r>
        <w:rPr>
          <w:rFonts w:hint="default" w:ascii="仿宋" w:hAnsi="仿宋" w:eastAsia="仿宋" w:cs="仿宋"/>
          <w:sz w:val="32"/>
          <w:szCs w:val="32"/>
          <w:lang w:val="en-US" w:eastAsia="zh-CN"/>
        </w:rPr>
        <w:t>行政执法监督员</w:t>
      </w:r>
      <w:r>
        <w:rPr>
          <w:rFonts w:hint="eastAsia" w:ascii="仿宋" w:hAnsi="仿宋" w:eastAsia="仿宋" w:cs="仿宋"/>
          <w:sz w:val="32"/>
          <w:szCs w:val="32"/>
          <w:lang w:val="en-US" w:eastAsia="zh-CN"/>
        </w:rPr>
        <w:t>，联合县委编办深入9个镇、7个县直单位进行行政执法案件评查，针对性制发行政执法监督建议书（通知书）19份，并督促各单位在规定期限内完成整改。积极筹备全市乡镇综合行政执法改革现场推进会，认真总结并向全市推荐我县各镇综合行政执法工作经验亮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3.推动行政复议审理公开透明</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截至目前，县行政复议局共收到行政复议申请41起，其中受理33件，审结21件，12件正在审理中，向市局报送行政复议典型案例5件，已结案的未发生行政诉讼。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4.落实行政机关负责人参加应诉。</w:t>
      </w:r>
      <w:r>
        <w:rPr>
          <w:rFonts w:hint="eastAsia" w:ascii="仿宋" w:hAnsi="仿宋" w:eastAsia="仿宋" w:cs="仿宋"/>
          <w:sz w:val="32"/>
          <w:szCs w:val="32"/>
          <w:lang w:val="en-US" w:eastAsia="zh-CN"/>
        </w:rPr>
        <w:t>2023年接收县政府、县直相关部门行政诉讼案件35件，其中县政府单独应诉11件，与镇政府及相关县直部门共同应诉7件，镇政府单独应诉5件，县直相关部门单独应诉12件，行政负责人出庭应诉率100%。组织政府法律顾问、县直相关单位参加案件研判会9次（其中包括米建民案件和武润喜案件），向上级主管部门报送行政机关依法履行生效裁判情况报告1份，参加信访联席会议2次，行政应诉出庭率排在全市前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（三）强化</w:t>
      </w:r>
      <w:r>
        <w:rPr>
          <w:rFonts w:hint="eastAsia" w:ascii="楷体" w:hAnsi="楷体" w:eastAsia="楷体" w:cs="楷体"/>
          <w:b/>
          <w:bCs/>
          <w:i w:val="0"/>
          <w:iCs w:val="0"/>
          <w:caps w:val="0"/>
          <w:color w:val="333333"/>
          <w:spacing w:val="0"/>
          <w:sz w:val="32"/>
          <w:szCs w:val="32"/>
          <w:shd w:val="clear" w:fill="FFFFFF"/>
        </w:rPr>
        <w:t>法治</w:t>
      </w:r>
      <w:r>
        <w:rPr>
          <w:rFonts w:hint="eastAsia" w:ascii="楷体" w:hAnsi="楷体" w:eastAsia="楷体" w:cs="楷体"/>
          <w:b/>
          <w:bCs/>
          <w:i w:val="0"/>
          <w:iCs w:val="0"/>
          <w:caps w:val="0"/>
          <w:color w:val="333333"/>
          <w:spacing w:val="0"/>
          <w:sz w:val="32"/>
          <w:szCs w:val="32"/>
          <w:shd w:val="clear" w:fill="FFFFFF"/>
          <w:lang w:val="en-US" w:eastAsia="zh-CN"/>
        </w:rPr>
        <w:t>保障</w:t>
      </w:r>
      <w:r>
        <w:rPr>
          <w:rFonts w:hint="eastAsia" w:ascii="楷体" w:hAnsi="楷体" w:eastAsia="楷体" w:cs="楷体"/>
          <w:b/>
          <w:bCs/>
          <w:i w:val="0"/>
          <w:iCs w:val="0"/>
          <w:caps w:val="0"/>
          <w:color w:val="333333"/>
          <w:spacing w:val="0"/>
          <w:sz w:val="32"/>
          <w:szCs w:val="32"/>
          <w:shd w:val="clear" w:fill="FFFFFF"/>
        </w:rPr>
        <w:t>，全面推进</w:t>
      </w:r>
      <w:r>
        <w:rPr>
          <w:rFonts w:hint="eastAsia" w:ascii="楷体" w:hAnsi="楷体" w:eastAsia="楷体" w:cs="楷体"/>
          <w:b/>
          <w:bCs/>
          <w:i w:val="0"/>
          <w:iCs w:val="0"/>
          <w:caps w:val="0"/>
          <w:color w:val="333333"/>
          <w:spacing w:val="0"/>
          <w:sz w:val="32"/>
          <w:szCs w:val="32"/>
          <w:shd w:val="clear" w:fill="FFFFFF"/>
          <w:lang w:val="en-US" w:eastAsia="zh-CN"/>
        </w:rPr>
        <w:t>普法依法治理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1.大力推进依法治县。</w:t>
      </w:r>
      <w:r>
        <w:rPr>
          <w:rFonts w:hint="eastAsia" w:ascii="仿宋" w:hAnsi="仿宋" w:eastAsia="仿宋" w:cs="仿宋"/>
          <w:sz w:val="32"/>
          <w:szCs w:val="32"/>
          <w:lang w:val="en-US" w:eastAsia="zh-CN"/>
        </w:rPr>
        <w:t>按照《襄垣县专项工作考核办法（实施细则）汇编》要求，县委全面依法治县办公室对</w:t>
      </w:r>
      <w:r>
        <w:rPr>
          <w:rFonts w:hint="eastAsia" w:ascii="仿宋" w:hAnsi="仿宋" w:eastAsia="仿宋" w:cs="仿宋"/>
          <w:b w:val="0"/>
          <w:bCs w:val="0"/>
          <w:color w:val="auto"/>
          <w:spacing w:val="0"/>
          <w:kern w:val="2"/>
          <w:position w:val="0"/>
          <w:sz w:val="32"/>
          <w:szCs w:val="24"/>
          <w:shd w:val="clear" w:fill="auto"/>
          <w:lang w:val="en-US" w:eastAsia="zh-CN" w:bidi="ar-SA"/>
        </w:rPr>
        <w:t>27个政府组成部门和9个镇的党政主要负责人</w:t>
      </w:r>
      <w:r>
        <w:rPr>
          <w:rFonts w:hint="eastAsia" w:ascii="仿宋" w:hAnsi="仿宋" w:eastAsia="仿宋" w:cs="仿宋"/>
          <w:sz w:val="32"/>
          <w:szCs w:val="32"/>
          <w:lang w:val="en-US" w:eastAsia="zh-CN"/>
        </w:rPr>
        <w:t>开展了专题述法工作。总结全县法治政府建设情况，撰写第一批省级法治政府示范创建品牌案例，向省委全面依法治省办公室、市委、市政府、市委全面依法治市办公室全面系统汇报了襄垣法治政府建设经验成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2.全面实施精准普法。</w:t>
      </w:r>
      <w:r>
        <w:rPr>
          <w:rFonts w:hint="eastAsia" w:ascii="仿宋" w:hAnsi="仿宋" w:eastAsia="仿宋" w:cs="仿宋"/>
          <w:b w:val="0"/>
          <w:bCs w:val="0"/>
          <w:sz w:val="32"/>
          <w:szCs w:val="32"/>
          <w:lang w:val="en-US" w:eastAsia="zh-CN"/>
        </w:rPr>
        <w:t>明确“谁执法谁普法、谁主管谁普法”责任要求，精准定位普法对象，广泛开展“法律八进”活动。以“法援惠民生、春暖农民工”为主题，开展系列法律宣传活动；在3.8妇女节、3.15消费者权益保护日、4.15”国家安全日、民法典宣传月、6.1儿童节、虎门销烟纪念日、6.5环境保护日、12.4宪法宣传周等节日，广泛宣传宪法、民法典、国家安全、法律援助等法律知识；</w:t>
      </w:r>
      <w:r>
        <w:rPr>
          <w:rFonts w:hint="eastAsia" w:ascii="仿宋" w:hAnsi="仿宋" w:eastAsia="仿宋" w:cs="仿宋"/>
          <w:b w:val="0"/>
          <w:bCs w:val="0"/>
          <w:color w:val="000000"/>
          <w:sz w:val="32"/>
          <w:szCs w:val="32"/>
          <w:lang w:val="en-US" w:eastAsia="zh-CN"/>
        </w:rPr>
        <w:t>开展“美好生活·民法典相伴”暨襄垣县“2023年青年普法志愿者法治文化基层行”系列活动，组建4支法治宣传小分队，“民法典”号法制宣传车深入永惠社区、永安社区，天下襄农业科技开发有限公司、党群服务中心、爱心公益协会开展流动式、互动式普法，现场接待咨询1000余人次。集中力量深入企业、学校开展精准普法宣传</w:t>
      </w:r>
      <w:r>
        <w:rPr>
          <w:rFonts w:hint="eastAsia" w:ascii="仿宋" w:hAnsi="仿宋" w:eastAsia="仿宋" w:cs="仿宋"/>
          <w:b w:val="0"/>
          <w:bCs w:val="0"/>
          <w:sz w:val="32"/>
          <w:szCs w:val="32"/>
          <w:lang w:val="en-US" w:eastAsia="zh-CN"/>
        </w:rPr>
        <w:t>，全面提高学生、职工学法、守法、用法、懂法积极性。9月12日，顺利通过山西省“八五”普法规划中期评估，为下一步创新开展全县普法工作奠定基础。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bCs/>
          <w:sz w:val="32"/>
          <w:szCs w:val="32"/>
          <w:lang w:val="en-US" w:eastAsia="zh-CN"/>
        </w:rPr>
        <w:t>3.助力优化营商环境。一是</w:t>
      </w:r>
      <w:r>
        <w:rPr>
          <w:rFonts w:hint="eastAsia" w:ascii="仿宋" w:hAnsi="仿宋" w:eastAsia="仿宋" w:cs="仿宋"/>
          <w:b w:val="0"/>
          <w:bCs w:val="0"/>
          <w:sz w:val="32"/>
          <w:szCs w:val="32"/>
          <w:lang w:val="en-US" w:eastAsia="zh-CN"/>
        </w:rPr>
        <w:t>大力推进公共法律服务平台建设。通过平台汇聚更多优质法律资源，为全县群众和企业实体提供多元化、“一站式”的法律服务。2023年，县镇两级中心共安排值班律师703人次，免费接待咨询群众3579余人次，发放补助资金18.09万元。8月1日，省政协副主席闫晨曦一行到县公共法律服务中心进行调研，高度评价我县公共法律服务体系建设工作。</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不断提升法律援助质效。认真落实上级关于保障和改善民生的决策部署，紧密结合经济社会发展实际，及时为符合条件的困难群众提供诉讼和非诉讼援助服务，重点做好农民工、下岗失业人员、妇女、未成年人、残疾人等困难群众法律援助工作。积极开展《中华人民共和国法律援助法》宣传，引导群众依法表达合理诉求。2023年，中心共受理指派各类法律援助案件691件（其中：民事案件35件，刑事案件275件，认罪认罚律师见证381件），组织开展法律援助主题宣传12场次，现场解答法律咨询800余人次，发放宣传资料 5000余份。</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充分发挥公证服务优势。</w:t>
      </w:r>
      <w:r>
        <w:rPr>
          <w:rFonts w:hint="eastAsia" w:ascii="仿宋" w:hAnsi="仿宋" w:eastAsia="仿宋" w:cs="仿宋"/>
          <w:sz w:val="32"/>
          <w:szCs w:val="32"/>
          <w:lang w:val="en-US" w:eastAsia="zh-CN"/>
        </w:rPr>
        <w:t>县公证处</w:t>
      </w:r>
      <w:r>
        <w:rPr>
          <w:rFonts w:hint="eastAsia" w:ascii="仿宋" w:hAnsi="仿宋" w:eastAsia="仿宋" w:cs="仿宋"/>
          <w:b w:val="0"/>
          <w:bCs w:val="0"/>
          <w:sz w:val="32"/>
          <w:szCs w:val="32"/>
          <w:lang w:val="en-US" w:eastAsia="zh-CN"/>
        </w:rPr>
        <w:t>积极落实</w:t>
      </w:r>
      <w:r>
        <w:rPr>
          <w:rFonts w:hint="eastAsia" w:ascii="仿宋" w:hAnsi="仿宋" w:eastAsia="仿宋" w:cs="仿宋"/>
          <w:sz w:val="32"/>
          <w:szCs w:val="32"/>
          <w:lang w:val="en-US" w:eastAsia="zh-CN"/>
        </w:rPr>
        <w:t>办证公开和“一次性告知”制度，</w:t>
      </w:r>
      <w:r>
        <w:rPr>
          <w:rFonts w:hint="eastAsia" w:ascii="仿宋" w:hAnsi="仿宋" w:eastAsia="仿宋" w:cs="仿宋"/>
          <w:b w:val="0"/>
          <w:bCs w:val="0"/>
          <w:sz w:val="32"/>
          <w:szCs w:val="32"/>
          <w:lang w:val="en-US" w:eastAsia="zh-CN"/>
        </w:rPr>
        <w:t>充分发挥帮助企业防范风险、预防和减少矛盾纠纷、维护群众权益等职能优势，助推法治化营商环境持续优化。</w:t>
      </w:r>
      <w:r>
        <w:rPr>
          <w:rFonts w:hint="eastAsia" w:ascii="仿宋" w:hAnsi="仿宋" w:eastAsia="仿宋" w:cs="仿宋"/>
          <w:sz w:val="32"/>
          <w:szCs w:val="32"/>
          <w:u w:val="none"/>
          <w:lang w:val="en-US" w:eastAsia="zh-CN"/>
        </w:rPr>
        <w:t>先后参与了</w:t>
      </w:r>
      <w:r>
        <w:rPr>
          <w:rFonts w:hint="default" w:ascii="仿宋" w:hAnsi="仿宋" w:eastAsia="仿宋" w:cs="仿宋"/>
          <w:sz w:val="30"/>
          <w:szCs w:val="30"/>
          <w:u w:val="none"/>
          <w:lang w:val="en-US" w:eastAsia="zh-CN"/>
        </w:rPr>
        <w:t>襄垣县</w:t>
      </w:r>
      <w:r>
        <w:rPr>
          <w:rFonts w:hint="eastAsia" w:ascii="仿宋" w:hAnsi="仿宋" w:eastAsia="仿宋" w:cs="仿宋"/>
          <w:sz w:val="30"/>
          <w:szCs w:val="30"/>
          <w:u w:val="none"/>
          <w:lang w:val="en-US" w:eastAsia="zh-CN"/>
        </w:rPr>
        <w:t>和美园经济适用房配售抽签、县自然资源局土地挂牌出让活动和襄垣县2023年第三届职工技能大赛等现场监督公证。</w:t>
      </w:r>
      <w:r>
        <w:rPr>
          <w:rFonts w:hint="eastAsia" w:ascii="仿宋" w:hAnsi="仿宋" w:eastAsia="仿宋" w:cs="仿宋"/>
          <w:sz w:val="32"/>
          <w:szCs w:val="32"/>
          <w:u w:val="none"/>
          <w:lang w:val="en-US" w:eastAsia="zh-CN"/>
        </w:rPr>
        <w:t>全年，县公证处共办理各类公证事项307件，其中国内民事241件，涉外民事66件。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4.强化法律服务行业管理。</w:t>
      </w:r>
      <w:r>
        <w:rPr>
          <w:rFonts w:hint="eastAsia" w:ascii="仿宋" w:hAnsi="仿宋" w:eastAsia="仿宋" w:cs="仿宋"/>
          <w:b w:val="0"/>
          <w:bCs w:val="0"/>
          <w:sz w:val="32"/>
          <w:szCs w:val="32"/>
          <w:lang w:val="en-US" w:eastAsia="zh-CN"/>
        </w:rPr>
        <w:t>目前，我县共有律师事务所3家，专职律师10名（三季度新增1名），公职、公司律师14名，基层法律服务所6家（基层法律服务工作者19名），法律服务行业发展整体态势良好，为公共法律服务工作开展保障了人才资源。今年以来，全县律师（法律服务工作者）积极参与平台值班和法律援助，解答来访咨询，为企业发展和各界群众提供专业法律意见，积极配合各级机构化解涉法涉诉案件，以实际行动助力创建法治化营商环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（四）防范化解风险，有序开展平安襄垣相关工作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1.</w:t>
      </w:r>
      <w:r>
        <w:rPr>
          <w:rFonts w:hint="eastAsia" w:ascii="仿宋" w:hAnsi="仿宋" w:eastAsia="仿宋" w:cs="仿宋"/>
          <w:b/>
          <w:bCs/>
          <w:color w:val="3D3D3D"/>
          <w:sz w:val="32"/>
          <w:szCs w:val="32"/>
          <w:u w:val="none"/>
        </w:rPr>
        <w:t>强化基层矛盾纠纷化解</w:t>
      </w:r>
      <w:r>
        <w:rPr>
          <w:rFonts w:hint="eastAsia" w:ascii="仿宋" w:hAnsi="仿宋" w:eastAsia="仿宋" w:cs="仿宋"/>
          <w:b/>
          <w:bCs/>
          <w:sz w:val="32"/>
          <w:szCs w:val="32"/>
          <w:lang w:val="en-US" w:eastAsia="zh-CN"/>
        </w:rPr>
        <w:t>。</w:t>
      </w:r>
      <w:r>
        <w:rPr>
          <w:rFonts w:hint="eastAsia" w:ascii="仿宋_GB2312" w:hAnsi="仿宋_GB2312" w:eastAsia="仿宋_GB2312" w:cs="仿宋_GB2312"/>
          <w:kern w:val="2"/>
          <w:sz w:val="32"/>
          <w:szCs w:val="32"/>
          <w:lang w:val="en-US" w:eastAsia="zh-CN" w:bidi="ar-SA"/>
        </w:rPr>
        <w:t>充分发挥人民调解“第一道防线”作用，持续推进人民调解进网格、物业、企业、市场、法庭、派出所等工作。在县信访局设立访调对接人民调解委员会，派驻3名专职人民调解员，及时就地化解信访矛盾。</w:t>
      </w:r>
      <w:r>
        <w:rPr>
          <w:rFonts w:hint="eastAsia" w:ascii="仿宋_GB2312" w:hAnsi="仿宋_GB2312" w:eastAsia="仿宋_GB2312" w:cs="仿宋_GB2312"/>
          <w:sz w:val="32"/>
          <w:szCs w:val="32"/>
          <w:lang w:val="en-US" w:eastAsia="zh-CN"/>
        </w:rPr>
        <w:t>积极开展</w:t>
      </w:r>
      <w:r>
        <w:rPr>
          <w:rFonts w:hint="eastAsia" w:ascii="仿宋" w:hAnsi="仿宋" w:eastAsia="仿宋" w:cs="仿宋"/>
          <w:b w:val="0"/>
          <w:bCs w:val="0"/>
          <w:sz w:val="32"/>
          <w:szCs w:val="32"/>
          <w:lang w:val="en-US" w:eastAsia="zh-CN"/>
        </w:rPr>
        <w:t>人民调解员登记评定工作，4名二级调解员，35名三级调解员，49名四级调解员通过评定。2023年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全县</w:t>
      </w:r>
      <w:r>
        <w:rPr>
          <w:rFonts w:hint="eastAsia" w:ascii="仿宋" w:hAnsi="仿宋" w:eastAsia="仿宋" w:cs="仿宋"/>
          <w:sz w:val="32"/>
          <w:szCs w:val="32"/>
          <w:lang w:eastAsia="zh-CN"/>
        </w:rPr>
        <w:t>各级调委会共调处各类矛盾纠纷</w:t>
      </w:r>
      <w:r>
        <w:rPr>
          <w:rFonts w:hint="eastAsia" w:ascii="仿宋" w:hAnsi="仿宋" w:eastAsia="仿宋" w:cs="仿宋"/>
          <w:sz w:val="32"/>
          <w:szCs w:val="32"/>
          <w:lang w:val="en-US" w:eastAsia="zh-CN"/>
        </w:rPr>
        <w:t>1828件，</w:t>
      </w:r>
      <w:r>
        <w:rPr>
          <w:rFonts w:hint="eastAsia" w:ascii="仿宋" w:hAnsi="仿宋" w:eastAsia="仿宋" w:cs="仿宋"/>
          <w:b w:val="0"/>
          <w:bCs w:val="0"/>
          <w:sz w:val="32"/>
          <w:szCs w:val="32"/>
          <w:lang w:val="en-US" w:eastAsia="zh-CN"/>
        </w:rPr>
        <w:t>上报典型案例16件，</w:t>
      </w:r>
      <w:r>
        <w:rPr>
          <w:rFonts w:hint="eastAsia" w:ascii="仿宋" w:hAnsi="仿宋" w:eastAsia="仿宋" w:cs="仿宋"/>
          <w:sz w:val="32"/>
          <w:szCs w:val="32"/>
          <w:lang w:val="en-US" w:eastAsia="zh-CN"/>
        </w:rPr>
        <w:t>调解成功率与履行率达</w:t>
      </w:r>
      <w:r>
        <w:rPr>
          <w:rFonts w:hint="eastAsia" w:ascii="仿宋" w:hAnsi="仿宋" w:eastAsia="仿宋" w:cs="仿宋"/>
          <w:b w:val="0"/>
          <w:bCs w:val="0"/>
          <w:sz w:val="32"/>
          <w:szCs w:val="32"/>
          <w:lang w:val="en-US" w:eastAsia="zh-CN"/>
        </w:rPr>
        <w:t>98%以上</w:t>
      </w:r>
      <w:r>
        <w:rPr>
          <w:rFonts w:hint="eastAsia" w:ascii="仿宋_GB2312" w:hAnsi="仿宋_GB2312" w:eastAsia="仿宋_GB2312" w:cs="仿宋_GB2312"/>
          <w:sz w:val="32"/>
          <w:szCs w:val="32"/>
          <w:lang w:val="en-US" w:eastAsia="zh-CN"/>
        </w:rPr>
        <w:t>。11月29日-30日成功举办了2023年度人民调解员、人民陪审员培训班，共120人参加培训。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2.守牢社区矫正监管底线。</w:t>
      </w:r>
      <w:r>
        <w:rPr>
          <w:rFonts w:hint="eastAsia" w:ascii="仿宋" w:hAnsi="仿宋" w:eastAsia="仿宋" w:cs="仿宋"/>
          <w:sz w:val="32"/>
          <w:szCs w:val="32"/>
          <w:lang w:val="en-US" w:eastAsia="zh-CN"/>
        </w:rPr>
        <w:t>加速推进社区矫正“一局一中心”试点，智慧矫正中心基本达到司法部、省司法厅验收标准。积极开展社区矫正对象监管帮教工作，2023年以来，社区矫正管理局共开展社区矫正适用前调查评估167件，接收社区矫正对象111人，解除73人，目前在册133人，未发生社区矫正安全事故，未发生任何涉社区矫正案事件</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 w:hAnsi="仿宋" w:eastAsia="仿宋" w:cs="仿宋"/>
          <w:b/>
          <w:bCs/>
          <w:sz w:val="32"/>
          <w:szCs w:val="32"/>
          <w:lang w:val="en-US" w:eastAsia="zh-CN"/>
        </w:rPr>
        <w:t>3.规范落实安置帮教工作。</w:t>
      </w:r>
      <w:r>
        <w:rPr>
          <w:rFonts w:hint="eastAsia" w:ascii="仿宋" w:hAnsi="仿宋" w:eastAsia="仿宋" w:cs="仿宋"/>
          <w:b w:val="0"/>
          <w:bCs w:val="0"/>
          <w:sz w:val="32"/>
          <w:szCs w:val="32"/>
          <w:lang w:val="en-US" w:eastAsia="zh-CN"/>
        </w:rPr>
        <w:t>全面落实重点帮教对象“必接必送”要求，</w:t>
      </w:r>
      <w:r>
        <w:rPr>
          <w:rFonts w:hint="eastAsia" w:ascii="仿宋" w:hAnsi="仿宋" w:eastAsia="仿宋" w:cs="仿宋"/>
          <w:b w:val="0"/>
          <w:bCs w:val="0"/>
          <w:i w:val="0"/>
          <w:iCs w:val="0"/>
          <w:sz w:val="32"/>
          <w:szCs w:val="32"/>
        </w:rPr>
        <w:t>确保刑满释放人员无缝衔接到位，责任落实</w:t>
      </w:r>
      <w:r>
        <w:rPr>
          <w:rFonts w:hint="eastAsia" w:ascii="仿宋" w:hAnsi="仿宋" w:eastAsia="仿宋" w:cs="仿宋"/>
          <w:b w:val="0"/>
          <w:bCs w:val="0"/>
          <w:i w:val="0"/>
          <w:iCs w:val="0"/>
          <w:sz w:val="32"/>
          <w:szCs w:val="32"/>
          <w:lang w:val="en-US" w:eastAsia="zh-CN"/>
        </w:rPr>
        <w:t>到位</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val="en-US" w:eastAsia="zh-CN"/>
        </w:rPr>
        <w:t>截止2023年12月底，</w:t>
      </w:r>
      <w:r>
        <w:rPr>
          <w:rFonts w:hint="eastAsia" w:ascii="仿宋" w:hAnsi="仿宋" w:eastAsia="仿宋" w:cs="仿宋"/>
          <w:b w:val="0"/>
          <w:bCs w:val="0"/>
          <w:i w:val="0"/>
          <w:iCs w:val="0"/>
          <w:sz w:val="32"/>
          <w:szCs w:val="32"/>
        </w:rPr>
        <w:t>全县</w:t>
      </w:r>
      <w:r>
        <w:rPr>
          <w:rFonts w:hint="eastAsia" w:ascii="仿宋" w:hAnsi="仿宋" w:eastAsia="仿宋" w:cs="仿宋"/>
          <w:b w:val="0"/>
          <w:bCs w:val="0"/>
          <w:i w:val="0"/>
          <w:iCs w:val="0"/>
          <w:sz w:val="32"/>
          <w:szCs w:val="32"/>
          <w:lang w:val="en-US" w:eastAsia="zh-CN"/>
        </w:rPr>
        <w:t>共有</w:t>
      </w:r>
      <w:r>
        <w:rPr>
          <w:rFonts w:hint="eastAsia" w:ascii="仿宋" w:hAnsi="仿宋" w:eastAsia="仿宋" w:cs="仿宋"/>
          <w:b w:val="0"/>
          <w:bCs w:val="0"/>
          <w:i w:val="0"/>
          <w:iCs w:val="0"/>
          <w:sz w:val="32"/>
          <w:szCs w:val="32"/>
        </w:rPr>
        <w:t>安置帮教对象</w:t>
      </w:r>
      <w:r>
        <w:rPr>
          <w:rFonts w:hint="eastAsia" w:ascii="仿宋" w:hAnsi="仿宋" w:eastAsia="仿宋" w:cs="仿宋"/>
          <w:b w:val="0"/>
          <w:bCs w:val="0"/>
          <w:i w:val="0"/>
          <w:iCs w:val="0"/>
          <w:sz w:val="32"/>
          <w:szCs w:val="32"/>
          <w:lang w:val="en-US" w:eastAsia="zh-CN"/>
        </w:rPr>
        <w:t>807</w:t>
      </w:r>
      <w:r>
        <w:rPr>
          <w:rFonts w:hint="eastAsia" w:ascii="仿宋" w:hAnsi="仿宋" w:eastAsia="仿宋" w:cs="仿宋"/>
          <w:b w:val="0"/>
          <w:bCs w:val="0"/>
          <w:i w:val="0"/>
          <w:iCs w:val="0"/>
          <w:sz w:val="32"/>
          <w:szCs w:val="32"/>
        </w:rPr>
        <w:t>人，其中</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rPr>
        <w:t>重点帮教对象</w:t>
      </w:r>
      <w:r>
        <w:rPr>
          <w:rFonts w:hint="eastAsia" w:ascii="仿宋" w:hAnsi="仿宋" w:eastAsia="仿宋" w:cs="仿宋"/>
          <w:b w:val="0"/>
          <w:bCs w:val="0"/>
          <w:i w:val="0"/>
          <w:iCs w:val="0"/>
          <w:sz w:val="32"/>
          <w:szCs w:val="32"/>
          <w:lang w:val="en-US" w:eastAsia="zh-CN"/>
        </w:rPr>
        <w:t>85</w:t>
      </w:r>
      <w:r>
        <w:rPr>
          <w:rFonts w:hint="eastAsia" w:ascii="仿宋" w:hAnsi="仿宋" w:eastAsia="仿宋" w:cs="仿宋"/>
          <w:b w:val="0"/>
          <w:bCs w:val="0"/>
          <w:i w:val="0"/>
          <w:iCs w:val="0"/>
          <w:sz w:val="32"/>
          <w:szCs w:val="32"/>
        </w:rPr>
        <w:t>人</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2023年共</w:t>
      </w:r>
      <w:r>
        <w:rPr>
          <w:rFonts w:hint="eastAsia" w:ascii="仿宋" w:hAnsi="仿宋" w:eastAsia="仿宋" w:cs="仿宋"/>
          <w:b w:val="0"/>
          <w:bCs w:val="0"/>
          <w:i w:val="0"/>
          <w:iCs w:val="0"/>
          <w:sz w:val="32"/>
          <w:szCs w:val="32"/>
        </w:rPr>
        <w:t>衔接</w:t>
      </w:r>
      <w:r>
        <w:rPr>
          <w:rFonts w:hint="eastAsia" w:ascii="仿宋" w:hAnsi="仿宋" w:eastAsia="仿宋" w:cs="仿宋"/>
          <w:b w:val="0"/>
          <w:bCs w:val="0"/>
          <w:i w:val="0"/>
          <w:iCs w:val="0"/>
          <w:sz w:val="32"/>
          <w:szCs w:val="32"/>
          <w:lang w:val="en-US" w:eastAsia="zh-CN"/>
        </w:rPr>
        <w:t>刑满释放人员276人（其中：重点帮教对象19人）</w:t>
      </w:r>
      <w:r>
        <w:rPr>
          <w:rFonts w:hint="eastAsia" w:ascii="仿宋" w:hAnsi="仿宋" w:eastAsia="仿宋" w:cs="仿宋"/>
          <w:b w:val="0"/>
          <w:bCs w:val="0"/>
          <w:i w:val="0"/>
          <w:iCs w:val="0"/>
          <w:sz w:val="32"/>
          <w:szCs w:val="32"/>
        </w:rPr>
        <w:t>。</w:t>
      </w:r>
      <w:r>
        <w:rPr>
          <w:rFonts w:hint="eastAsia" w:ascii="仿宋_GB2312" w:hAnsi="仿宋_GB2312" w:eastAsia="仿宋_GB2312" w:cs="仿宋_GB2312"/>
          <w:b w:val="0"/>
          <w:bCs w:val="0"/>
          <w:i w:val="0"/>
          <w:caps w:val="0"/>
          <w:spacing w:val="0"/>
          <w:w w:val="100"/>
          <w:sz w:val="32"/>
          <w:szCs w:val="32"/>
          <w:lang w:val="en-US" w:eastAsia="zh-CN"/>
        </w:rPr>
        <w:t>全县服刑人员信息核查率100%，核查成功率99.52%，衔接率100%。9个司法所全年接受预约远程视频会见1212人次，成功会见968人次。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三、下一步工作计划</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根据全县司法行政高质量发展需要，2024年重点抓好三方面工作：</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0" w:afterAutospacing="0" w:line="600" w:lineRule="exact"/>
        <w:ind w:firstLine="643" w:firstLineChars="200"/>
        <w:textAlignment w:val="auto"/>
        <w:rPr>
          <w:rFonts w:hint="default" w:ascii="仿宋" w:hAnsi="仿宋" w:eastAsia="仿宋" w:cs="仿宋"/>
          <w:b w:val="0"/>
          <w:bCs w:val="0"/>
          <w:color w:val="000000"/>
          <w:kern w:val="2"/>
          <w:sz w:val="32"/>
          <w:szCs w:val="32"/>
          <w:lang w:val="en-US" w:eastAsia="zh-CN"/>
        </w:rPr>
      </w:pPr>
      <w:r>
        <w:rPr>
          <w:rFonts w:hint="eastAsia" w:ascii="楷体" w:hAnsi="楷体" w:eastAsia="楷体" w:cs="楷体"/>
          <w:b/>
          <w:bCs/>
          <w:color w:val="000000"/>
          <w:kern w:val="2"/>
          <w:sz w:val="32"/>
          <w:szCs w:val="32"/>
          <w:lang w:val="en-US" w:eastAsia="zh-CN" w:bidi="ar"/>
        </w:rPr>
        <w:t>（一）继续深入推进两个试点工作。</w:t>
      </w:r>
      <w:r>
        <w:rPr>
          <w:rFonts w:hint="eastAsia" w:ascii="仿宋" w:hAnsi="仿宋" w:eastAsia="仿宋" w:cs="仿宋"/>
          <w:b w:val="0"/>
          <w:bCs w:val="0"/>
          <w:color w:val="000000"/>
          <w:kern w:val="2"/>
          <w:sz w:val="32"/>
          <w:szCs w:val="32"/>
          <w:lang w:val="en-US" w:eastAsia="zh-CN"/>
        </w:rPr>
        <w:t>按照试点工作要求，继续积极稳妥社区矫正“一局一中心”、行政执法协调监督工作体系建设两个试点工作。重点是要</w:t>
      </w:r>
      <w:r>
        <w:rPr>
          <w:rFonts w:hint="eastAsia" w:ascii="仿宋" w:hAnsi="仿宋" w:eastAsia="仿宋" w:cs="仿宋"/>
          <w:color w:val="auto"/>
          <w:spacing w:val="0"/>
          <w:position w:val="0"/>
          <w:sz w:val="32"/>
          <w:shd w:val="clear" w:fill="auto"/>
          <w:lang w:val="en-US" w:eastAsia="zh-CN"/>
        </w:rPr>
        <w:t>加大行政执法监督力度，健全行政执法协调机制，打造法治化、正规化</w:t>
      </w:r>
      <w:r>
        <w:rPr>
          <w:rFonts w:hint="eastAsia" w:ascii="仿宋" w:hAnsi="仿宋" w:eastAsia="仿宋" w:cs="仿宋"/>
          <w:color w:val="auto"/>
          <w:spacing w:val="0"/>
          <w:position w:val="0"/>
          <w:sz w:val="32"/>
          <w:shd w:val="clear" w:fill="auto"/>
        </w:rPr>
        <w:t>行政</w:t>
      </w:r>
      <w:r>
        <w:rPr>
          <w:rFonts w:hint="eastAsia" w:ascii="仿宋" w:hAnsi="仿宋" w:eastAsia="仿宋" w:cs="仿宋"/>
          <w:color w:val="auto"/>
          <w:spacing w:val="0"/>
          <w:position w:val="0"/>
          <w:sz w:val="32"/>
          <w:shd w:val="clear" w:fill="auto"/>
          <w:lang w:val="en-US" w:eastAsia="zh-CN"/>
        </w:rPr>
        <w:t>执法</w:t>
      </w:r>
      <w:r>
        <w:rPr>
          <w:rFonts w:hint="eastAsia" w:ascii="仿宋" w:hAnsi="仿宋" w:eastAsia="仿宋" w:cs="仿宋"/>
          <w:color w:val="auto"/>
          <w:spacing w:val="0"/>
          <w:position w:val="0"/>
          <w:sz w:val="32"/>
          <w:shd w:val="clear" w:fill="auto"/>
        </w:rPr>
        <w:t>队伍，</w:t>
      </w:r>
      <w:r>
        <w:rPr>
          <w:rFonts w:hint="eastAsia" w:ascii="仿宋" w:hAnsi="仿宋" w:eastAsia="仿宋" w:cs="仿宋"/>
          <w:color w:val="auto"/>
          <w:spacing w:val="0"/>
          <w:position w:val="0"/>
          <w:sz w:val="32"/>
          <w:shd w:val="clear" w:fill="auto"/>
          <w:lang w:val="en-US" w:eastAsia="zh-CN"/>
        </w:rPr>
        <w:t>全面提升</w:t>
      </w:r>
      <w:r>
        <w:rPr>
          <w:rFonts w:hint="eastAsia" w:ascii="仿宋" w:hAnsi="仿宋" w:eastAsia="仿宋" w:cs="仿宋"/>
          <w:color w:val="auto"/>
          <w:spacing w:val="0"/>
          <w:position w:val="0"/>
          <w:sz w:val="32"/>
          <w:shd w:val="clear" w:fill="auto"/>
        </w:rPr>
        <w:t>工作效能</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lang w:val="en-US" w:eastAsia="zh-CN"/>
        </w:rPr>
        <w:t>以社区矫正数字化、智能化为发展主线，紧紧围绕“依法矫正、科学监管、因人施教、融入社会”总要求，全面加强“智慧矫正中心”建设，通过深入推进智慧矫正应用建设，推动社区矫正工作从人工管理到智慧化管理的转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eastAsia" w:ascii="仿宋" w:hAnsi="仿宋" w:eastAsia="仿宋" w:cs="仿宋"/>
          <w:b w:val="0"/>
          <w:bCs w:val="0"/>
          <w:color w:val="000000"/>
          <w:kern w:val="2"/>
          <w:sz w:val="32"/>
          <w:szCs w:val="32"/>
          <w:lang w:eastAsia="zh-CN"/>
        </w:rPr>
      </w:pPr>
      <w:r>
        <w:rPr>
          <w:rFonts w:hint="eastAsia" w:ascii="楷体" w:hAnsi="楷体" w:eastAsia="楷体" w:cs="楷体"/>
          <w:b/>
          <w:bCs/>
          <w:color w:val="000000"/>
          <w:kern w:val="2"/>
          <w:sz w:val="32"/>
          <w:szCs w:val="32"/>
          <w:lang w:eastAsia="zh-CN"/>
        </w:rPr>
        <w:t>（</w:t>
      </w:r>
      <w:r>
        <w:rPr>
          <w:rFonts w:hint="eastAsia" w:ascii="楷体" w:hAnsi="楷体" w:eastAsia="楷体" w:cs="楷体"/>
          <w:b/>
          <w:bCs/>
          <w:color w:val="000000"/>
          <w:kern w:val="2"/>
          <w:sz w:val="32"/>
          <w:szCs w:val="32"/>
          <w:lang w:val="en-US" w:eastAsia="zh-CN"/>
        </w:rPr>
        <w:t>二</w:t>
      </w:r>
      <w:r>
        <w:rPr>
          <w:rFonts w:hint="eastAsia" w:ascii="楷体" w:hAnsi="楷体" w:eastAsia="楷体" w:cs="楷体"/>
          <w:b/>
          <w:bCs/>
          <w:color w:val="000000"/>
          <w:kern w:val="2"/>
          <w:sz w:val="32"/>
          <w:szCs w:val="32"/>
          <w:lang w:eastAsia="zh-CN"/>
        </w:rPr>
        <w:t>）</w:t>
      </w:r>
      <w:r>
        <w:rPr>
          <w:rFonts w:hint="eastAsia" w:ascii="楷体" w:hAnsi="楷体" w:eastAsia="楷体" w:cs="楷体"/>
          <w:b/>
          <w:bCs/>
          <w:color w:val="000000"/>
          <w:kern w:val="2"/>
          <w:sz w:val="32"/>
          <w:szCs w:val="32"/>
        </w:rPr>
        <w:t>深入推进全面依法治</w:t>
      </w:r>
      <w:r>
        <w:rPr>
          <w:rFonts w:hint="eastAsia" w:ascii="楷体" w:hAnsi="楷体" w:eastAsia="楷体" w:cs="楷体"/>
          <w:b/>
          <w:bCs/>
          <w:color w:val="000000"/>
          <w:kern w:val="2"/>
          <w:sz w:val="32"/>
          <w:szCs w:val="32"/>
          <w:lang w:val="en-US" w:eastAsia="zh-CN"/>
        </w:rPr>
        <w:t>县</w:t>
      </w:r>
      <w:r>
        <w:rPr>
          <w:rFonts w:hint="eastAsia" w:ascii="楷体" w:hAnsi="楷体" w:eastAsia="楷体" w:cs="楷体"/>
          <w:b/>
          <w:bCs/>
          <w:color w:val="000000"/>
          <w:kern w:val="2"/>
          <w:sz w:val="32"/>
          <w:szCs w:val="32"/>
        </w:rPr>
        <w:t>和法治政府建设。</w:t>
      </w:r>
      <w:r>
        <w:rPr>
          <w:rFonts w:hint="eastAsia" w:ascii="仿宋" w:hAnsi="仿宋" w:eastAsia="仿宋" w:cs="仿宋"/>
          <w:b w:val="0"/>
          <w:bCs w:val="0"/>
          <w:color w:val="000000"/>
          <w:kern w:val="2"/>
          <w:sz w:val="32"/>
          <w:szCs w:val="32"/>
        </w:rPr>
        <w:t>认真履行全面依法治</w:t>
      </w:r>
      <w:r>
        <w:rPr>
          <w:rFonts w:hint="eastAsia" w:ascii="仿宋" w:hAnsi="仿宋" w:eastAsia="仿宋" w:cs="仿宋"/>
          <w:b w:val="0"/>
          <w:bCs w:val="0"/>
          <w:color w:val="000000"/>
          <w:kern w:val="2"/>
          <w:sz w:val="32"/>
          <w:szCs w:val="32"/>
          <w:lang w:val="en-US" w:eastAsia="zh-CN"/>
        </w:rPr>
        <w:t>县委员会</w:t>
      </w:r>
      <w:r>
        <w:rPr>
          <w:rFonts w:hint="eastAsia" w:ascii="仿宋" w:hAnsi="仿宋" w:eastAsia="仿宋" w:cs="仿宋"/>
          <w:b w:val="0"/>
          <w:bCs w:val="0"/>
          <w:color w:val="000000"/>
          <w:kern w:val="2"/>
          <w:sz w:val="32"/>
          <w:szCs w:val="32"/>
        </w:rPr>
        <w:t>办公室工作职责，持续加强领导干部、公务员、青少年、企业经营人员和农民的法治宣传教育。</w:t>
      </w:r>
      <w:r>
        <w:rPr>
          <w:rFonts w:hint="eastAsia" w:ascii="仿宋" w:hAnsi="仿宋" w:eastAsia="仿宋" w:cs="仿宋"/>
          <w:b w:val="0"/>
          <w:bCs w:val="0"/>
          <w:color w:val="000000"/>
          <w:kern w:val="2"/>
          <w:sz w:val="32"/>
          <w:szCs w:val="32"/>
          <w:lang w:val="en-US" w:eastAsia="zh-CN"/>
        </w:rPr>
        <w:t>以服务县委、县政府中心大局为目标，积极谋划多元化普法宣传活动</w:t>
      </w:r>
      <w:r>
        <w:rPr>
          <w:rFonts w:hint="eastAsia" w:ascii="仿宋" w:hAnsi="仿宋" w:eastAsia="仿宋" w:cs="仿宋"/>
          <w:b w:val="0"/>
          <w:bCs w:val="0"/>
          <w:color w:val="000000"/>
          <w:kern w:val="2"/>
          <w:sz w:val="32"/>
          <w:szCs w:val="32"/>
        </w:rPr>
        <w:t>，不断增强广大公民的法律意识</w:t>
      </w: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为不断优化营商环境</w:t>
      </w:r>
      <w:r>
        <w:rPr>
          <w:rFonts w:hint="eastAsia" w:ascii="仿宋" w:hAnsi="仿宋" w:eastAsia="仿宋" w:cs="仿宋"/>
          <w:b w:val="0"/>
          <w:bCs w:val="0"/>
          <w:color w:val="000000"/>
          <w:kern w:val="2"/>
          <w:sz w:val="32"/>
          <w:szCs w:val="32"/>
        </w:rPr>
        <w:t>发挥法治引领保障作用</w:t>
      </w:r>
      <w:r>
        <w:rPr>
          <w:rFonts w:hint="eastAsia" w:ascii="仿宋" w:hAnsi="仿宋" w:eastAsia="仿宋" w:cs="仿宋"/>
          <w:b w:val="0"/>
          <w:bCs w:val="0"/>
          <w:color w:val="000000"/>
          <w:kern w:val="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3" w:firstLineChars="200"/>
        <w:jc w:val="left"/>
        <w:textAlignment w:val="auto"/>
        <w:rPr>
          <w:rFonts w:hint="default" w:ascii="仿宋" w:hAnsi="仿宋" w:eastAsia="仿宋" w:cs="仿宋"/>
          <w:color w:val="auto"/>
          <w:spacing w:val="0"/>
          <w:position w:val="0"/>
          <w:sz w:val="32"/>
          <w:shd w:val="clear" w:fill="auto"/>
          <w:lang w:val="en-US" w:eastAsia="zh-CN"/>
        </w:rPr>
      </w:pPr>
      <w:r>
        <w:rPr>
          <w:rFonts w:hint="eastAsia" w:ascii="楷体" w:hAnsi="楷体" w:eastAsia="楷体" w:cs="楷体"/>
          <w:b/>
          <w:bCs/>
          <w:color w:val="000000"/>
          <w:kern w:val="2"/>
          <w:sz w:val="32"/>
          <w:szCs w:val="32"/>
          <w:lang w:val="en-US" w:eastAsia="zh-CN" w:bidi="ar"/>
        </w:rPr>
        <w:t>（三）进一步完善基层基础建设。</w:t>
      </w:r>
      <w:r>
        <w:rPr>
          <w:rFonts w:hint="eastAsia" w:ascii="仿宋" w:hAnsi="仿宋" w:eastAsia="仿宋" w:cs="仿宋"/>
          <w:color w:val="auto"/>
          <w:spacing w:val="0"/>
          <w:position w:val="0"/>
          <w:sz w:val="32"/>
          <w:shd w:val="clear" w:fill="auto"/>
          <w:lang w:val="en-US" w:eastAsia="zh-CN"/>
        </w:rPr>
        <w:t>根据规范化司法所创建要求，积极争取县委、县政府支持，协调解决古韩司法所办公用房问题；探索通过租赁等方式，为“枫桥式”司法所配备必要执勤执法车辆，保障基层司法所在充分履行社区矫正执法、行政执法协调监督职能。积极推进社区矫正人员公益活动基地和安置帮教基地建设，并持续发挥三个基地帮扶教育、助力回归积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jc w:val="left"/>
        <w:textAlignment w:val="auto"/>
        <w:rPr>
          <w:rFonts w:hint="eastAsia" w:ascii="仿宋" w:hAnsi="仿宋" w:eastAsia="仿宋" w:cs="仿宋"/>
          <w:color w:val="auto"/>
          <w:spacing w:val="0"/>
          <w:position w:val="0"/>
          <w:sz w:val="32"/>
          <w:shd w:val="clear" w:fill="auto"/>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 w:hAnsi="仿宋" w:eastAsia="仿宋" w:cs="仿宋"/>
          <w:b w:val="0"/>
          <w:bCs w:val="0"/>
          <w:color w:val="000000"/>
          <w:kern w:val="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lang w:val="en-US" w:eastAsia="zh-CN"/>
        </w:rPr>
        <w:t xml:space="preserve">                           襄垣县司法局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000000"/>
          <w:kern w:val="2"/>
          <w:sz w:val="32"/>
          <w:szCs w:val="32"/>
          <w:lang w:val="en-US" w:eastAsia="zh-CN"/>
        </w:rPr>
        <w:t xml:space="preserve">                          2023年12月31日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4F7C0-9422-41FC-B13C-B6853DE388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7EC7FF3-2955-4917-9149-732A0A2FA7DE}"/>
  </w:font>
  <w:font w:name="方正小标宋_GBK">
    <w:panose1 w:val="03000509000000000000"/>
    <w:charset w:val="86"/>
    <w:family w:val="auto"/>
    <w:pitch w:val="default"/>
    <w:sig w:usb0="00000001" w:usb1="080E0000" w:usb2="00000000" w:usb3="00000000" w:csb0="00040000" w:csb1="00000000"/>
    <w:embedRegular r:id="rId3" w:fontKey="{E0ED2D7E-6477-44FD-B55F-CDEC9027EA38}"/>
  </w:font>
  <w:font w:name="方正公文小标宋">
    <w:panose1 w:val="02000500000000000000"/>
    <w:charset w:val="86"/>
    <w:family w:val="auto"/>
    <w:pitch w:val="default"/>
    <w:sig w:usb0="A00002BF" w:usb1="38CF7CFA" w:usb2="00000016" w:usb3="00000000" w:csb0="00040001" w:csb1="00000000"/>
    <w:embedRegular r:id="rId4" w:fontKey="{6E319CE6-8CCF-4287-A94A-4BC12B36E478}"/>
  </w:font>
  <w:font w:name="楷体">
    <w:panose1 w:val="02010609060101010101"/>
    <w:charset w:val="86"/>
    <w:family w:val="auto"/>
    <w:pitch w:val="default"/>
    <w:sig w:usb0="800002BF" w:usb1="38CF7CFA" w:usb2="00000016" w:usb3="00000000" w:csb0="00040001" w:csb1="00000000"/>
    <w:embedRegular r:id="rId5" w:fontKey="{7B34F904-3949-420F-83D0-28460E3A8BEF}"/>
  </w:font>
  <w:font w:name="仿宋_GB2312">
    <w:panose1 w:val="02010609030101010101"/>
    <w:charset w:val="86"/>
    <w:family w:val="auto"/>
    <w:pitch w:val="default"/>
    <w:sig w:usb0="00000001" w:usb1="080E0000" w:usb2="00000000" w:usb3="00000000" w:csb0="00040000" w:csb1="00000000"/>
    <w:embedRegular r:id="rId6" w:fontKey="{C95AA403-EDCC-4764-A453-203A2659CA93}"/>
  </w:font>
  <w:font w:name="仿宋">
    <w:panose1 w:val="02010609060101010101"/>
    <w:charset w:val="86"/>
    <w:family w:val="auto"/>
    <w:pitch w:val="default"/>
    <w:sig w:usb0="800002BF" w:usb1="38CF7CFA" w:usb2="00000016" w:usb3="00000000" w:csb0="00040001" w:csb1="00000000"/>
    <w:embedRegular r:id="rId7" w:fontKey="{2B36F43A-A791-417F-8BC1-F18A65D0F0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AF37B"/>
    <w:multiLevelType w:val="singleLevel"/>
    <w:tmpl w:val="C5AAF37B"/>
    <w:lvl w:ilvl="0" w:tentative="0">
      <w:start w:val="1"/>
      <w:numFmt w:val="chineseCounting"/>
      <w:suff w:val="nothing"/>
      <w:lvlText w:val="%1、"/>
      <w:lvlJc w:val="left"/>
      <w:rPr>
        <w:rFonts w:hint="eastAsia"/>
      </w:rPr>
    </w:lvl>
  </w:abstractNum>
  <w:abstractNum w:abstractNumId="1">
    <w:nsid w:val="CF36029E"/>
    <w:multiLevelType w:val="singleLevel"/>
    <w:tmpl w:val="CF36029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0000000"/>
    <w:rsid w:val="00013654"/>
    <w:rsid w:val="005C0153"/>
    <w:rsid w:val="0089189B"/>
    <w:rsid w:val="00D20B4D"/>
    <w:rsid w:val="01203F93"/>
    <w:rsid w:val="0160084E"/>
    <w:rsid w:val="016A5229"/>
    <w:rsid w:val="01A93FA3"/>
    <w:rsid w:val="020B07BA"/>
    <w:rsid w:val="02230245"/>
    <w:rsid w:val="022573A2"/>
    <w:rsid w:val="026E0D49"/>
    <w:rsid w:val="0297204E"/>
    <w:rsid w:val="02CF6DC1"/>
    <w:rsid w:val="031A67DB"/>
    <w:rsid w:val="032D390E"/>
    <w:rsid w:val="03D446F6"/>
    <w:rsid w:val="04686749"/>
    <w:rsid w:val="052D28D3"/>
    <w:rsid w:val="053E0EA6"/>
    <w:rsid w:val="058D598A"/>
    <w:rsid w:val="05D67331"/>
    <w:rsid w:val="05EC6B48"/>
    <w:rsid w:val="060E35DA"/>
    <w:rsid w:val="06506057"/>
    <w:rsid w:val="065C7C05"/>
    <w:rsid w:val="065E2E82"/>
    <w:rsid w:val="06AE3E0A"/>
    <w:rsid w:val="06E86ABF"/>
    <w:rsid w:val="07017849"/>
    <w:rsid w:val="07155C37"/>
    <w:rsid w:val="0717375D"/>
    <w:rsid w:val="072B7208"/>
    <w:rsid w:val="0733247B"/>
    <w:rsid w:val="07BE1E2B"/>
    <w:rsid w:val="07ED0962"/>
    <w:rsid w:val="08B5322E"/>
    <w:rsid w:val="0A0C6B00"/>
    <w:rsid w:val="0A1246B0"/>
    <w:rsid w:val="0A232419"/>
    <w:rsid w:val="0A456833"/>
    <w:rsid w:val="0A854E82"/>
    <w:rsid w:val="0ABE2142"/>
    <w:rsid w:val="0ABF0394"/>
    <w:rsid w:val="0AE75B3C"/>
    <w:rsid w:val="0B2B01B0"/>
    <w:rsid w:val="0C6B22BE"/>
    <w:rsid w:val="0CBB2DDD"/>
    <w:rsid w:val="0CD12600"/>
    <w:rsid w:val="0CFA1B57"/>
    <w:rsid w:val="0D865199"/>
    <w:rsid w:val="0DC363ED"/>
    <w:rsid w:val="0DE46363"/>
    <w:rsid w:val="0E373BA8"/>
    <w:rsid w:val="0E6574A4"/>
    <w:rsid w:val="0EB14497"/>
    <w:rsid w:val="0F152C78"/>
    <w:rsid w:val="0F4672D5"/>
    <w:rsid w:val="10044A9B"/>
    <w:rsid w:val="10305890"/>
    <w:rsid w:val="10412D0D"/>
    <w:rsid w:val="10B77D6D"/>
    <w:rsid w:val="10D91A83"/>
    <w:rsid w:val="116F23E8"/>
    <w:rsid w:val="11717F0E"/>
    <w:rsid w:val="119105B0"/>
    <w:rsid w:val="12F708E7"/>
    <w:rsid w:val="13023513"/>
    <w:rsid w:val="13207E3D"/>
    <w:rsid w:val="137D54C4"/>
    <w:rsid w:val="13985C26"/>
    <w:rsid w:val="13B011C1"/>
    <w:rsid w:val="145F6743"/>
    <w:rsid w:val="14B52807"/>
    <w:rsid w:val="14B720DC"/>
    <w:rsid w:val="14D14285"/>
    <w:rsid w:val="15543DCE"/>
    <w:rsid w:val="15914856"/>
    <w:rsid w:val="15CA5E3E"/>
    <w:rsid w:val="15DF25C4"/>
    <w:rsid w:val="162714E3"/>
    <w:rsid w:val="16AD19E8"/>
    <w:rsid w:val="16B54D41"/>
    <w:rsid w:val="16C86822"/>
    <w:rsid w:val="176302F9"/>
    <w:rsid w:val="17EC02EE"/>
    <w:rsid w:val="17FB2DCF"/>
    <w:rsid w:val="182E6B59"/>
    <w:rsid w:val="183B5A01"/>
    <w:rsid w:val="18B51028"/>
    <w:rsid w:val="18DF7E53"/>
    <w:rsid w:val="19BE5CBA"/>
    <w:rsid w:val="19E52459"/>
    <w:rsid w:val="1A0F4347"/>
    <w:rsid w:val="1A8B64E4"/>
    <w:rsid w:val="1ACD2659"/>
    <w:rsid w:val="1ADF2990"/>
    <w:rsid w:val="1AE23C2A"/>
    <w:rsid w:val="1B6B1E72"/>
    <w:rsid w:val="1BBB0703"/>
    <w:rsid w:val="1C0A168B"/>
    <w:rsid w:val="1C2C33AF"/>
    <w:rsid w:val="1C56042C"/>
    <w:rsid w:val="1C802A3B"/>
    <w:rsid w:val="1C833BC7"/>
    <w:rsid w:val="1C8E7BC6"/>
    <w:rsid w:val="1CF540E9"/>
    <w:rsid w:val="1D926262"/>
    <w:rsid w:val="1D9E652E"/>
    <w:rsid w:val="1E3E386E"/>
    <w:rsid w:val="1E405C93"/>
    <w:rsid w:val="1E62755C"/>
    <w:rsid w:val="1E6E5F01"/>
    <w:rsid w:val="1EA41923"/>
    <w:rsid w:val="1EB06519"/>
    <w:rsid w:val="1F2111C5"/>
    <w:rsid w:val="1F2E5690"/>
    <w:rsid w:val="1FD35006"/>
    <w:rsid w:val="1FD77AD6"/>
    <w:rsid w:val="20144886"/>
    <w:rsid w:val="201E74B3"/>
    <w:rsid w:val="20256A93"/>
    <w:rsid w:val="20297421"/>
    <w:rsid w:val="20A51982"/>
    <w:rsid w:val="20FD17BE"/>
    <w:rsid w:val="20FD1BD4"/>
    <w:rsid w:val="215869F4"/>
    <w:rsid w:val="21676534"/>
    <w:rsid w:val="21EF7359"/>
    <w:rsid w:val="2221772E"/>
    <w:rsid w:val="22977A3D"/>
    <w:rsid w:val="22B91715"/>
    <w:rsid w:val="22BD6C19"/>
    <w:rsid w:val="22DB754D"/>
    <w:rsid w:val="23906919"/>
    <w:rsid w:val="23A75A11"/>
    <w:rsid w:val="23B56380"/>
    <w:rsid w:val="23C44815"/>
    <w:rsid w:val="23D03454"/>
    <w:rsid w:val="240D7F6A"/>
    <w:rsid w:val="242F7EE0"/>
    <w:rsid w:val="25113A8A"/>
    <w:rsid w:val="25292B82"/>
    <w:rsid w:val="258204E4"/>
    <w:rsid w:val="25C64874"/>
    <w:rsid w:val="26B91CE3"/>
    <w:rsid w:val="26F55BF7"/>
    <w:rsid w:val="2769195B"/>
    <w:rsid w:val="277A3B68"/>
    <w:rsid w:val="27AF1F83"/>
    <w:rsid w:val="28904CC6"/>
    <w:rsid w:val="28A864B3"/>
    <w:rsid w:val="28D23530"/>
    <w:rsid w:val="292A304B"/>
    <w:rsid w:val="295E6B72"/>
    <w:rsid w:val="29FF3E88"/>
    <w:rsid w:val="2A297CE3"/>
    <w:rsid w:val="2A43616A"/>
    <w:rsid w:val="2A521751"/>
    <w:rsid w:val="2A69423A"/>
    <w:rsid w:val="2AC30448"/>
    <w:rsid w:val="2B8C3E6A"/>
    <w:rsid w:val="2BAF5518"/>
    <w:rsid w:val="2BC7343E"/>
    <w:rsid w:val="2C1A1476"/>
    <w:rsid w:val="2C4B7881"/>
    <w:rsid w:val="2C5524AE"/>
    <w:rsid w:val="2CDA29B3"/>
    <w:rsid w:val="2D377575"/>
    <w:rsid w:val="2D39592C"/>
    <w:rsid w:val="2DBA5A8C"/>
    <w:rsid w:val="2DD85145"/>
    <w:rsid w:val="2E480A0C"/>
    <w:rsid w:val="2E4B1DBB"/>
    <w:rsid w:val="2E5B7B24"/>
    <w:rsid w:val="2E9A5E5D"/>
    <w:rsid w:val="2F0748C0"/>
    <w:rsid w:val="2F3740ED"/>
    <w:rsid w:val="2F4A2072"/>
    <w:rsid w:val="2F57093A"/>
    <w:rsid w:val="2F875074"/>
    <w:rsid w:val="2FC152CC"/>
    <w:rsid w:val="316B2774"/>
    <w:rsid w:val="31C44134"/>
    <w:rsid w:val="31CF2D03"/>
    <w:rsid w:val="31FB6704"/>
    <w:rsid w:val="32C443FA"/>
    <w:rsid w:val="33461174"/>
    <w:rsid w:val="337D69FA"/>
    <w:rsid w:val="337E678E"/>
    <w:rsid w:val="340824FC"/>
    <w:rsid w:val="34452E08"/>
    <w:rsid w:val="34B62C2E"/>
    <w:rsid w:val="352944D8"/>
    <w:rsid w:val="354457B6"/>
    <w:rsid w:val="35D408E8"/>
    <w:rsid w:val="35EB79DF"/>
    <w:rsid w:val="365E28A7"/>
    <w:rsid w:val="36897924"/>
    <w:rsid w:val="37641351"/>
    <w:rsid w:val="37B26A07"/>
    <w:rsid w:val="380D6333"/>
    <w:rsid w:val="38A327F3"/>
    <w:rsid w:val="38B8629F"/>
    <w:rsid w:val="39A71E6F"/>
    <w:rsid w:val="39DE7F87"/>
    <w:rsid w:val="3B1874C8"/>
    <w:rsid w:val="3B9052B1"/>
    <w:rsid w:val="3D4225DB"/>
    <w:rsid w:val="3D9D1F07"/>
    <w:rsid w:val="3DA037A5"/>
    <w:rsid w:val="3DC6320C"/>
    <w:rsid w:val="3DFF227A"/>
    <w:rsid w:val="3E3A7756"/>
    <w:rsid w:val="3E500D27"/>
    <w:rsid w:val="3EE85404"/>
    <w:rsid w:val="3F06588A"/>
    <w:rsid w:val="3F6A406B"/>
    <w:rsid w:val="3F6E1B2C"/>
    <w:rsid w:val="3FA96941"/>
    <w:rsid w:val="40124E35"/>
    <w:rsid w:val="4101455B"/>
    <w:rsid w:val="415E375B"/>
    <w:rsid w:val="419378A9"/>
    <w:rsid w:val="41C55588"/>
    <w:rsid w:val="41D35EF7"/>
    <w:rsid w:val="41F67E38"/>
    <w:rsid w:val="4255098A"/>
    <w:rsid w:val="42EB7271"/>
    <w:rsid w:val="43C7383A"/>
    <w:rsid w:val="442962A2"/>
    <w:rsid w:val="445C6678"/>
    <w:rsid w:val="44703ED1"/>
    <w:rsid w:val="447F2366"/>
    <w:rsid w:val="449A0F4E"/>
    <w:rsid w:val="44BC2C73"/>
    <w:rsid w:val="454424FD"/>
    <w:rsid w:val="454809AA"/>
    <w:rsid w:val="4568104C"/>
    <w:rsid w:val="460C630C"/>
    <w:rsid w:val="46256F3D"/>
    <w:rsid w:val="471D19C3"/>
    <w:rsid w:val="47DE73A4"/>
    <w:rsid w:val="480212E4"/>
    <w:rsid w:val="48527118"/>
    <w:rsid w:val="48670993"/>
    <w:rsid w:val="49492F43"/>
    <w:rsid w:val="49690EEF"/>
    <w:rsid w:val="497C50C6"/>
    <w:rsid w:val="49B900C8"/>
    <w:rsid w:val="49C36851"/>
    <w:rsid w:val="4AA541A9"/>
    <w:rsid w:val="4AA55136"/>
    <w:rsid w:val="4AFD3FE5"/>
    <w:rsid w:val="4B5C6F5D"/>
    <w:rsid w:val="4B7A5635"/>
    <w:rsid w:val="4B865BE0"/>
    <w:rsid w:val="4DCA0138"/>
    <w:rsid w:val="4DCD7C5F"/>
    <w:rsid w:val="4E013DEC"/>
    <w:rsid w:val="4E4573FA"/>
    <w:rsid w:val="4EA74993"/>
    <w:rsid w:val="4ED11A10"/>
    <w:rsid w:val="4EEA2AD2"/>
    <w:rsid w:val="4F2F6737"/>
    <w:rsid w:val="4F336227"/>
    <w:rsid w:val="4F7F146C"/>
    <w:rsid w:val="4FDD43E5"/>
    <w:rsid w:val="4FF0236A"/>
    <w:rsid w:val="50151DD1"/>
    <w:rsid w:val="506B379F"/>
    <w:rsid w:val="51750D79"/>
    <w:rsid w:val="51782617"/>
    <w:rsid w:val="517952B0"/>
    <w:rsid w:val="51BA49DE"/>
    <w:rsid w:val="51F07C3E"/>
    <w:rsid w:val="521D2D1C"/>
    <w:rsid w:val="5264588E"/>
    <w:rsid w:val="527E3C5D"/>
    <w:rsid w:val="53A2397B"/>
    <w:rsid w:val="53A5521A"/>
    <w:rsid w:val="53AE40CE"/>
    <w:rsid w:val="54363862"/>
    <w:rsid w:val="54413194"/>
    <w:rsid w:val="5449029B"/>
    <w:rsid w:val="5486504B"/>
    <w:rsid w:val="555B0286"/>
    <w:rsid w:val="55E62245"/>
    <w:rsid w:val="56091A90"/>
    <w:rsid w:val="56AE556C"/>
    <w:rsid w:val="56CA56C3"/>
    <w:rsid w:val="56D26326"/>
    <w:rsid w:val="571050A0"/>
    <w:rsid w:val="57544F8D"/>
    <w:rsid w:val="57954CAF"/>
    <w:rsid w:val="581B3EBF"/>
    <w:rsid w:val="583B02A1"/>
    <w:rsid w:val="586456A3"/>
    <w:rsid w:val="588C69A8"/>
    <w:rsid w:val="58C12AF6"/>
    <w:rsid w:val="59DD570D"/>
    <w:rsid w:val="59FA12D5"/>
    <w:rsid w:val="5A5A1C41"/>
    <w:rsid w:val="5A67147B"/>
    <w:rsid w:val="5AD22D98"/>
    <w:rsid w:val="5B0D2022"/>
    <w:rsid w:val="5B42323E"/>
    <w:rsid w:val="5B4F43E9"/>
    <w:rsid w:val="5BAF54D2"/>
    <w:rsid w:val="5BBE156E"/>
    <w:rsid w:val="5C186842"/>
    <w:rsid w:val="5CBD196C"/>
    <w:rsid w:val="5CCE3A33"/>
    <w:rsid w:val="5D543F38"/>
    <w:rsid w:val="5D6F1F84"/>
    <w:rsid w:val="5D810AA5"/>
    <w:rsid w:val="5D881E34"/>
    <w:rsid w:val="5D924A61"/>
    <w:rsid w:val="5DA65D3F"/>
    <w:rsid w:val="5DBC1ADE"/>
    <w:rsid w:val="5DC50C21"/>
    <w:rsid w:val="5DE74DAC"/>
    <w:rsid w:val="5F2E2567"/>
    <w:rsid w:val="600265BA"/>
    <w:rsid w:val="606F4BE5"/>
    <w:rsid w:val="60B371C8"/>
    <w:rsid w:val="61050B14"/>
    <w:rsid w:val="61B96A60"/>
    <w:rsid w:val="623B7475"/>
    <w:rsid w:val="62791D4B"/>
    <w:rsid w:val="62B218B0"/>
    <w:rsid w:val="62CB6291"/>
    <w:rsid w:val="62FA7330"/>
    <w:rsid w:val="63554566"/>
    <w:rsid w:val="639F1C85"/>
    <w:rsid w:val="6421269A"/>
    <w:rsid w:val="64383391"/>
    <w:rsid w:val="64C96DD9"/>
    <w:rsid w:val="652F0DE7"/>
    <w:rsid w:val="65363F24"/>
    <w:rsid w:val="656E5DB3"/>
    <w:rsid w:val="65B0017A"/>
    <w:rsid w:val="65BF59C6"/>
    <w:rsid w:val="663A3EE7"/>
    <w:rsid w:val="66865081"/>
    <w:rsid w:val="67B33E7A"/>
    <w:rsid w:val="67E265E5"/>
    <w:rsid w:val="6852376A"/>
    <w:rsid w:val="68C77CB4"/>
    <w:rsid w:val="69164798"/>
    <w:rsid w:val="695B664F"/>
    <w:rsid w:val="69623539"/>
    <w:rsid w:val="698A6F34"/>
    <w:rsid w:val="6A9C0CCD"/>
    <w:rsid w:val="6AD246EE"/>
    <w:rsid w:val="6B030D4C"/>
    <w:rsid w:val="6B2D401B"/>
    <w:rsid w:val="6B9F7ED9"/>
    <w:rsid w:val="6CA67BE1"/>
    <w:rsid w:val="6D1461FB"/>
    <w:rsid w:val="6D1919FD"/>
    <w:rsid w:val="6D763A57"/>
    <w:rsid w:val="6DA560EA"/>
    <w:rsid w:val="6DA700B4"/>
    <w:rsid w:val="6DDD3AD6"/>
    <w:rsid w:val="6DFD1A82"/>
    <w:rsid w:val="6E1C7D7D"/>
    <w:rsid w:val="6EB8009F"/>
    <w:rsid w:val="6EFE1F56"/>
    <w:rsid w:val="6F573414"/>
    <w:rsid w:val="70057314"/>
    <w:rsid w:val="70380680"/>
    <w:rsid w:val="7040034C"/>
    <w:rsid w:val="70510105"/>
    <w:rsid w:val="70575BBD"/>
    <w:rsid w:val="70CA26E5"/>
    <w:rsid w:val="70D311C0"/>
    <w:rsid w:val="70DA42FD"/>
    <w:rsid w:val="70FB0C86"/>
    <w:rsid w:val="7101188A"/>
    <w:rsid w:val="71704C61"/>
    <w:rsid w:val="71902C0D"/>
    <w:rsid w:val="71E13469"/>
    <w:rsid w:val="721966EE"/>
    <w:rsid w:val="72404633"/>
    <w:rsid w:val="725B76BF"/>
    <w:rsid w:val="729D1A86"/>
    <w:rsid w:val="72C963D7"/>
    <w:rsid w:val="72DF5BFA"/>
    <w:rsid w:val="72F35B4A"/>
    <w:rsid w:val="72F71196"/>
    <w:rsid w:val="732E26DE"/>
    <w:rsid w:val="73560528"/>
    <w:rsid w:val="73DF0A51"/>
    <w:rsid w:val="7406638B"/>
    <w:rsid w:val="743B1556"/>
    <w:rsid w:val="74542618"/>
    <w:rsid w:val="74A013B9"/>
    <w:rsid w:val="74C01A5C"/>
    <w:rsid w:val="7516167C"/>
    <w:rsid w:val="75175B20"/>
    <w:rsid w:val="753E2876"/>
    <w:rsid w:val="75932CCC"/>
    <w:rsid w:val="75BF3AC1"/>
    <w:rsid w:val="76051600"/>
    <w:rsid w:val="76124721"/>
    <w:rsid w:val="762D1373"/>
    <w:rsid w:val="76D4359C"/>
    <w:rsid w:val="77732DB5"/>
    <w:rsid w:val="77D777E8"/>
    <w:rsid w:val="77E062F3"/>
    <w:rsid w:val="78615304"/>
    <w:rsid w:val="78623556"/>
    <w:rsid w:val="789C4D94"/>
    <w:rsid w:val="790C40FB"/>
    <w:rsid w:val="79652BD2"/>
    <w:rsid w:val="79D12015"/>
    <w:rsid w:val="79ED50A1"/>
    <w:rsid w:val="79EE0E19"/>
    <w:rsid w:val="7A227121"/>
    <w:rsid w:val="7A320D06"/>
    <w:rsid w:val="7ADC47C3"/>
    <w:rsid w:val="7AF9592F"/>
    <w:rsid w:val="7B4C5DF7"/>
    <w:rsid w:val="7B647BB9"/>
    <w:rsid w:val="7B784E3E"/>
    <w:rsid w:val="7B7F61CD"/>
    <w:rsid w:val="7BEC1388"/>
    <w:rsid w:val="7C2154D6"/>
    <w:rsid w:val="7C4F6CF6"/>
    <w:rsid w:val="7C572CA5"/>
    <w:rsid w:val="7C684EB3"/>
    <w:rsid w:val="7C707A13"/>
    <w:rsid w:val="7CC14B46"/>
    <w:rsid w:val="7CE34539"/>
    <w:rsid w:val="7D0F2F2C"/>
    <w:rsid w:val="7D387CD2"/>
    <w:rsid w:val="7D5B4A17"/>
    <w:rsid w:val="7D772F92"/>
    <w:rsid w:val="7D8A0E59"/>
    <w:rsid w:val="7E417769"/>
    <w:rsid w:val="7E88183C"/>
    <w:rsid w:val="7EBE700C"/>
    <w:rsid w:val="7EFB4F6E"/>
    <w:rsid w:val="7F1E3F4E"/>
    <w:rsid w:val="7F4E65E2"/>
    <w:rsid w:val="7F5636E8"/>
    <w:rsid w:val="BD37292B"/>
    <w:rsid w:val="BFCBE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bCs/>
    </w:rPr>
  </w:style>
  <w:style w:type="character" w:styleId="9">
    <w:name w:val="FollowedHyperlink"/>
    <w:basedOn w:val="7"/>
    <w:autoRedefine/>
    <w:qFormat/>
    <w:uiPriority w:val="0"/>
    <w:rPr>
      <w:color w:val="333333"/>
      <w:u w:val="none"/>
    </w:rPr>
  </w:style>
  <w:style w:type="character" w:styleId="10">
    <w:name w:val="Hyperlink"/>
    <w:basedOn w:val="7"/>
    <w:autoRedefine/>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4448</Words>
  <Characters>4651</Characters>
  <Lines>0</Lines>
  <Paragraphs>0</Paragraphs>
  <TotalTime>52</TotalTime>
  <ScaleCrop>false</ScaleCrop>
  <LinksUpToDate>false</LinksUpToDate>
  <CharactersWithSpaces>4705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2023-06-20T11:32:00Z</dcterms:created>
  <dc:creator>LENOVO</dc:creator>
  <cp:lastModifiedBy>企业用户_282967631</cp:lastModifiedBy>
  <cp:lastPrinted>2024-01-06T07:05:00Z</cp:lastPrinted>
  <dcterms:modified xsi:type="dcterms:W3CDTF">2025-04-27T01:02:36Z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A73DAD8F022040249C2730E97E62C748_13</vt:lpwstr>
  </property>
</Properties>
</file>