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方正小标宋_GBK" w:hAnsi="方正小标宋_GBK" w:eastAsia="方正小标宋_GBK" w:cs="方正小标宋_GBK"/>
          <w:sz w:val="44"/>
          <w:szCs w:val="44"/>
          <w:lang w:val="en-US" w:eastAsia="zh-CN"/>
        </w:rPr>
      </w:pPr>
      <w:bookmarkStart w:id="6" w:name="_GoBack"/>
      <w:bookmarkEnd w:id="6"/>
    </w:p>
    <w:p>
      <w:pPr>
        <w:keepNext w:val="0"/>
        <w:keepLines w:val="0"/>
        <w:pageBreakBefore w:val="0"/>
        <w:widowControl w:val="0"/>
        <w:kinsoku/>
        <w:wordWrap/>
        <w:overflowPunct/>
        <w:topLinePunct w:val="0"/>
        <w:autoSpaceDE/>
        <w:autoSpaceDN/>
        <w:bidi w:val="0"/>
        <w:adjustRightInd/>
        <w:snapToGrid/>
        <w:spacing w:before="625" w:beforeLines="200" w:beforeAutospacing="0" w:afterAutospacing="0"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襄垣县司法局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2025年上半年工作总结及下半年工作计划</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600" w:lineRule="exact"/>
        <w:ind w:left="0"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上半年，襄垣县司法局在县委、县政府的坚强领导下，紧紧围绕司法行政系统工作要点，充分发挥司法行政职能作用，统筹推进依法治县、法治政府、法治社会一体建设，为全县经济社会发展提供坚实法治保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主要情况</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获得市级以上荣誉：</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无</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市级以上领导调研情况：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default"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无</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主动争取省级、国家级资金情况：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无</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县委常委会、县政府常务会专题研究事项：</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县政府常务会（第77次）研究关于划拨社区矫正办公用房事宜。</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受到县级以上巡视巡察、通报批评、诫勉谈话、约谈函询等情况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kern w:val="2"/>
          <w:sz w:val="32"/>
          <w:szCs w:val="32"/>
          <w:lang w:val="en-US" w:eastAsia="zh-CN" w:bidi="ar-SA"/>
        </w:rPr>
        <w:t>无。</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600" w:lineRule="exact"/>
        <w:ind w:left="0" w:right="0" w:firstLine="640" w:firstLineChars="200"/>
        <w:jc w:val="left"/>
        <w:textAlignment w:val="auto"/>
        <w:rPr>
          <w:rFonts w:hint="default" w:ascii="仿宋" w:hAnsi="仿宋" w:eastAsia="仿宋" w:cs="仿宋"/>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6"/>
        <w:jc w:val="left"/>
        <w:textAlignment w:val="auto"/>
        <w:rPr>
          <w:rFonts w:hint="eastAsia" w:ascii="黑体" w:hAnsi="黑体" w:eastAsia="黑体" w:cs="黑体"/>
          <w:b w:val="0"/>
          <w:bCs w:val="0"/>
          <w:kern w:val="2"/>
          <w:sz w:val="32"/>
          <w:szCs w:val="32"/>
          <w:highlight w:val="none"/>
          <w:lang w:val="en-US" w:eastAsia="zh-CN" w:bidi="ar"/>
        </w:rPr>
      </w:pPr>
      <w:r>
        <w:rPr>
          <w:rFonts w:hint="eastAsia" w:ascii="黑体" w:hAnsi="宋体" w:eastAsia="黑体" w:cs="黑体"/>
          <w:i w:val="0"/>
          <w:iCs w:val="0"/>
          <w:caps w:val="0"/>
          <w:color w:val="333333"/>
          <w:spacing w:val="0"/>
          <w:kern w:val="0"/>
          <w:sz w:val="32"/>
          <w:szCs w:val="32"/>
          <w:shd w:val="clear" w:fill="FFFFFF"/>
          <w:lang w:val="en-US" w:eastAsia="zh-CN" w:bidi="ar"/>
        </w:rPr>
        <w:t>二、主要工作开展情况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（一）强化政治引领，全面压实主体责任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sz w:val="32"/>
          <w:szCs w:val="32"/>
          <w:highlight w:val="none"/>
          <w:lang w:val="en-US" w:eastAsia="zh-CN"/>
        </w:rPr>
      </w:pPr>
      <w:bookmarkStart w:id="0" w:name="OLE_LINK6"/>
      <w:r>
        <w:rPr>
          <w:rFonts w:hint="eastAsia" w:ascii="仿宋" w:hAnsi="仿宋" w:eastAsia="仿宋" w:cs="仿宋"/>
          <w:b/>
          <w:bCs/>
          <w:sz w:val="32"/>
          <w:szCs w:val="32"/>
          <w:highlight w:val="none"/>
          <w:lang w:val="en-US" w:eastAsia="zh-CN"/>
        </w:rPr>
        <w:t>1.深化理论学习教育。</w:t>
      </w:r>
      <w:r>
        <w:rPr>
          <w:rFonts w:hint="eastAsia" w:ascii="仿宋" w:hAnsi="仿宋" w:eastAsia="仿宋" w:cs="仿宋"/>
          <w:sz w:val="32"/>
          <w:szCs w:val="32"/>
          <w:highlight w:val="none"/>
          <w:lang w:val="en-US" w:eastAsia="zh-CN"/>
        </w:rPr>
        <w:t>按照上级关于深入贯彻中央八项规定精神学习教育部署，准确把握目标要求，举办党组理论学习中心组学习3次、党员大会集中学习4次、科级干部读书班1次，主题党日活动3次</w:t>
      </w:r>
      <w:r>
        <w:rPr>
          <w:rFonts w:hint="eastAsia" w:ascii="仿宋" w:hAnsi="仿宋" w:eastAsia="仿宋" w:cs="仿宋"/>
          <w:sz w:val="32"/>
          <w:szCs w:val="32"/>
          <w:highlight w:val="none"/>
          <w:u w:val="none"/>
          <w:lang w:val="en-US" w:eastAsia="zh-CN"/>
        </w:rPr>
        <w:t>，警示教育4次</w:t>
      </w:r>
      <w:r>
        <w:rPr>
          <w:rFonts w:hint="eastAsia"/>
          <w:u w:val="none"/>
          <w:lang w:eastAsia="zh-CN"/>
        </w:rPr>
        <w:t>。</w:t>
      </w:r>
      <w:r>
        <w:rPr>
          <w:rFonts w:hint="eastAsia" w:ascii="仿宋" w:hAnsi="仿宋" w:eastAsia="仿宋" w:cs="仿宋"/>
          <w:sz w:val="32"/>
          <w:szCs w:val="32"/>
          <w:highlight w:val="none"/>
          <w:lang w:val="en-US" w:eastAsia="zh-CN"/>
        </w:rPr>
        <w:t>党组成员、支部委员带头谈体会、谈感悟，全体党员结合工作实际，自觉对照《问题清单》，检视梳理个人存在问题，深入剖析问题根源，科学制定整改措施并逐一销号处理。支部班子共查找问题9个，24名党员初步查摆问题46个，4名年轻干部查摆问题10个。</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highlight w:val="none"/>
          <w:lang w:val="en-US" w:eastAsia="zh-CN"/>
        </w:rPr>
        <w:t>2.严肃党内政治生活。</w:t>
      </w:r>
      <w:r>
        <w:rPr>
          <w:rFonts w:hint="eastAsia" w:ascii="仿宋" w:hAnsi="仿宋" w:eastAsia="仿宋" w:cs="仿宋"/>
          <w:sz w:val="32"/>
          <w:szCs w:val="32"/>
          <w:highlight w:val="none"/>
          <w:lang w:val="en-US" w:eastAsia="zh-CN"/>
        </w:rPr>
        <w:t>县司法局始终将严肃党内政治生活作为党建工作重要载体，严格落实“三会一课”制度，通过专题党课、主题党日活动，强化党员理论武装，增强党性修养；认真开展民主生活会和组织生活会，深入开展批评与自我批评，确保“红脸出汗”见实效。上半年，按照上级党委安排召开主题党日活动6次。</w:t>
      </w:r>
      <w:bookmarkEnd w:id="0"/>
      <w:r>
        <w:rPr>
          <w:rFonts w:hint="eastAsia" w:ascii="仿宋" w:hAnsi="仿宋" w:eastAsia="仿宋" w:cs="仿宋"/>
          <w:sz w:val="32"/>
          <w:szCs w:val="32"/>
          <w:lang w:val="en-US" w:eastAsia="zh-CN"/>
        </w:rPr>
        <w:t>强化</w:t>
      </w:r>
      <w:r>
        <w:rPr>
          <w:rFonts w:hint="default" w:ascii="Times New Roman" w:hAnsi="Times New Roman" w:eastAsia="仿宋_GB2312" w:cs="Times New Roman"/>
          <w:sz w:val="32"/>
          <w:szCs w:val="32"/>
          <w:lang w:val="en-US" w:eastAsia="zh-CN"/>
        </w:rPr>
        <w:t>《习近平总书记关于加强党的作风建设论述摘编》</w:t>
      </w:r>
      <w:r>
        <w:rPr>
          <w:rFonts w:hint="eastAsia" w:ascii="Times New Roman" w:hAnsi="Times New Roman" w:eastAsia="仿宋_GB2312" w:cs="Times New Roman"/>
          <w:sz w:val="32"/>
          <w:szCs w:val="32"/>
          <w:lang w:val="en-US" w:eastAsia="zh-CN"/>
        </w:rPr>
        <w:t>学习，</w:t>
      </w:r>
      <w:r>
        <w:rPr>
          <w:rFonts w:hint="eastAsia" w:ascii="仿宋" w:hAnsi="仿宋" w:eastAsia="仿宋" w:cs="仿宋"/>
          <w:sz w:val="32"/>
          <w:szCs w:val="32"/>
          <w:lang w:val="en-US" w:eastAsia="zh-CN"/>
        </w:rPr>
        <w:t>教育引导党员干部把党的纪律规矩刻印在心，筑牢思想防线，守住行为底线。</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highlight w:val="none"/>
          <w:lang w:val="en-US" w:eastAsia="zh-CN"/>
        </w:rPr>
        <w:t>3.压实意识形态工作责任制</w:t>
      </w:r>
      <w:r>
        <w:rPr>
          <w:rFonts w:hint="eastAsia" w:ascii="楷体" w:hAnsi="楷体" w:eastAsia="楷体" w:cs="楷体"/>
          <w:b/>
          <w:bCs/>
          <w:sz w:val="32"/>
          <w:szCs w:val="32"/>
          <w:highlight w:val="none"/>
          <w:lang w:val="en-US" w:eastAsia="zh-CN"/>
        </w:rPr>
        <w:t>。</w:t>
      </w:r>
      <w:r>
        <w:rPr>
          <w:rFonts w:hint="eastAsia" w:ascii="仿宋" w:hAnsi="仿宋" w:eastAsia="仿宋" w:cs="仿宋"/>
          <w:sz w:val="32"/>
          <w:szCs w:val="32"/>
        </w:rPr>
        <w:t>牢牢把握舆论宣传工作正确政治方向，定期开展意识形态工作分析研判，扎实做好</w:t>
      </w:r>
      <w:r>
        <w:rPr>
          <w:rFonts w:hint="eastAsia" w:ascii="仿宋" w:hAnsi="仿宋" w:eastAsia="仿宋" w:cs="仿宋"/>
          <w:sz w:val="32"/>
          <w:szCs w:val="32"/>
          <w:lang w:eastAsia="zh-CN"/>
        </w:rPr>
        <w:t>司法行政系统包括</w:t>
      </w:r>
      <w:r>
        <w:rPr>
          <w:rFonts w:hint="eastAsia" w:ascii="仿宋" w:hAnsi="仿宋" w:eastAsia="仿宋" w:cs="仿宋"/>
          <w:sz w:val="32"/>
          <w:szCs w:val="32"/>
        </w:rPr>
        <w:t>律师、基层法律服务工作者、公证员、人民调解员等思想政治和职业道德教育。强化舆情监测，严格按照“三同步”要求，及时妥善处置突发與情事件。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（二）聚焦依法行政，推进法治政府建设提质增效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1.严格规范性文件合法性审查。</w:t>
      </w:r>
      <w:r>
        <w:rPr>
          <w:rFonts w:hint="eastAsia" w:ascii="仿宋" w:hAnsi="仿宋" w:eastAsia="仿宋" w:cs="仿宋"/>
          <w:b w:val="0"/>
          <w:bCs w:val="0"/>
          <w:sz w:val="32"/>
          <w:szCs w:val="32"/>
          <w:highlight w:val="none"/>
          <w:lang w:val="en-US" w:eastAsia="zh-CN"/>
        </w:rPr>
        <w:t>严格落实规范性文件合法性审查制度规定，推进重大法律风险的准确识别、充分预判与事前控制。2025年截至目前，审核县政府规范性文件3件，审核重大合同4件，审核政府常务会会议纪要8份，其他文件4份，出具合法性审核意见书19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2.促进严格规范公正文明执法。</w:t>
      </w:r>
      <w:r>
        <w:rPr>
          <w:rFonts w:hint="eastAsia" w:ascii="仿宋" w:hAnsi="仿宋" w:eastAsia="仿宋" w:cs="仿宋"/>
          <w:b w:val="0"/>
          <w:bCs w:val="0"/>
          <w:sz w:val="32"/>
          <w:szCs w:val="32"/>
          <w:highlight w:val="none"/>
          <w:lang w:val="en-US" w:eastAsia="zh-CN"/>
        </w:rPr>
        <w:t>按照“提升行政执法质量三年行动计划”部署，为进一步提升培训实效，结合工作实际，制发《“行政执法大讲堂”培训实效核查制度》。今年组织5期行政执法“大讲堂”，加强行政执法证件动态管理，严把行政执法人员“准入关”。突出严格规范涉企行政执法行为，试行“企业安静期”制度，切实减轻企业负担。牵头开展违规异地执法、趋利性执法和乱收费、乱罚款、乱检查、乱查封等问题专项整治，积极配合相关部门开展城市管理执法领域有法不执、执法不公、执法不文明以及违规违纪执法等问题专项整治，加强监督纠正，有效发挥行政执法协调监督职能作用。先后组织召开专题部署会、专班调度会、联席会议12次，全面起底梳理问题线索18条，自查问题92个，完成整改92个，健全完善制度29个，为群众办实事、解决群众急难愁盼问题78个，挽回经济损失79万余元，退还群众财物52.65元，办理推行入企检查备案制度，为企业发展加装“防护门”等典型实事1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3.推动行政复议审理公开透明。</w:t>
      </w:r>
      <w:r>
        <w:rPr>
          <w:rFonts w:hint="eastAsia" w:ascii="仿宋" w:hAnsi="仿宋" w:eastAsia="仿宋" w:cs="仿宋"/>
          <w:b w:val="0"/>
          <w:bCs w:val="0"/>
          <w:sz w:val="32"/>
          <w:szCs w:val="32"/>
          <w:highlight w:val="none"/>
          <w:lang w:val="en-US" w:eastAsia="zh-CN"/>
        </w:rPr>
        <w:t>认真贯彻《中华人民共和国行政复议法》，坚持严格依法办案，把好案件审理事实关、依据关、程序关，确保复议决定的合法性和合理性，建立“繁案精办、简案快办”的分流机制，不断提升办案质效，充分发挥行政复议化解行政争议主渠道作用。今年截止目前，县行政复议局共收到行政复议申请32起，其中受理20件，不予受理5件，逾期未补正视为放弃4件，正在补正中1件，正在审查是否受理2件。目前结案11件，其中维持2件，责令履行4件，终止4件，确认违法1件，9件正在审理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w w:val="100"/>
          <w:kern w:val="2"/>
          <w:sz w:val="32"/>
          <w:szCs w:val="32"/>
          <w:highlight w:val="none"/>
          <w:lang w:val="en-US" w:eastAsia="zh-CN" w:bidi="ar-SA"/>
        </w:rPr>
      </w:pPr>
      <w:r>
        <w:rPr>
          <w:rFonts w:hint="eastAsia" w:ascii="仿宋" w:hAnsi="仿宋" w:eastAsia="仿宋" w:cs="仿宋"/>
          <w:b/>
          <w:bCs/>
          <w:sz w:val="32"/>
          <w:szCs w:val="32"/>
          <w:highlight w:val="none"/>
          <w:lang w:val="en-US" w:eastAsia="zh-CN"/>
        </w:rPr>
        <w:t>4.落实行政机关负责人应诉制度。</w:t>
      </w:r>
      <w:r>
        <w:rPr>
          <w:rFonts w:hint="eastAsia" w:ascii="仿宋" w:hAnsi="仿宋" w:eastAsia="仿宋" w:cs="仿宋"/>
          <w:w w:val="100"/>
          <w:kern w:val="2"/>
          <w:sz w:val="32"/>
          <w:szCs w:val="32"/>
          <w:highlight w:val="none"/>
          <w:lang w:val="en-US" w:eastAsia="zh-CN" w:bidi="ar-SA"/>
        </w:rPr>
        <w:t>2025年接收县政府、县直相关部门行政诉讼案件20件，组织政府法律顾问、县直相关单位参加案件研判会4次（侯堡镇东周村宋建华诉县政府、县自然资源局强制拆除案；李中胜、李保宏等人诉县政府、市政府征地补偿；李志义、张国平、张树宏诉县政府强制执行案；潞安众益气体有限公司诉县政府强制执行案），行政负责人出庭应诉率100%。行政应诉出庭率排在全市前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i w:val="0"/>
          <w:iCs w:val="0"/>
          <w:caps w:val="0"/>
          <w:color w:val="333333"/>
          <w:spacing w:val="0"/>
          <w:sz w:val="32"/>
          <w:szCs w:val="32"/>
          <w:highlight w:val="none"/>
          <w:shd w:val="clear" w:fill="FFFFFF"/>
          <w:lang w:val="en-US" w:eastAsia="zh-CN"/>
        </w:rPr>
      </w:pPr>
      <w:bookmarkStart w:id="1" w:name="OLE_LINK3"/>
      <w:r>
        <w:rPr>
          <w:rFonts w:hint="eastAsia" w:ascii="楷体" w:hAnsi="楷体" w:eastAsia="楷体" w:cs="楷体"/>
          <w:b/>
          <w:bCs/>
          <w:i w:val="0"/>
          <w:iCs w:val="0"/>
          <w:caps w:val="0"/>
          <w:color w:val="333333"/>
          <w:spacing w:val="0"/>
          <w:sz w:val="32"/>
          <w:szCs w:val="32"/>
          <w:highlight w:val="none"/>
          <w:shd w:val="clear" w:fill="FFFFFF"/>
          <w:lang w:val="en-US" w:eastAsia="zh-CN"/>
        </w:rPr>
        <w:t>（三）强化法治保障，全面推进普法依法治理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i w:val="0"/>
          <w:iCs w:val="0"/>
          <w:caps w:val="0"/>
          <w:color w:val="333333"/>
          <w:spacing w:val="0"/>
          <w:sz w:val="32"/>
          <w:szCs w:val="32"/>
          <w:highlight w:val="none"/>
          <w:shd w:val="clear" w:fill="FFFFFF"/>
          <w:lang w:val="en-US" w:eastAsia="zh-CN"/>
        </w:rPr>
      </w:pPr>
      <w:r>
        <w:rPr>
          <w:rFonts w:hint="eastAsia" w:ascii="仿宋" w:hAnsi="仿宋" w:eastAsia="仿宋" w:cs="仿宋"/>
          <w:b/>
          <w:bCs/>
          <w:i w:val="0"/>
          <w:iCs w:val="0"/>
          <w:caps w:val="0"/>
          <w:color w:val="333333"/>
          <w:spacing w:val="0"/>
          <w:sz w:val="32"/>
          <w:szCs w:val="32"/>
          <w:highlight w:val="none"/>
          <w:shd w:val="clear" w:fill="FFFFFF"/>
          <w:lang w:val="en-US" w:eastAsia="zh-CN"/>
        </w:rPr>
        <w:t>1.大力推进依法治县。</w:t>
      </w:r>
      <w:r>
        <w:rPr>
          <w:rFonts w:hint="eastAsia" w:ascii="仿宋" w:hAnsi="仿宋" w:eastAsia="仿宋" w:cs="仿宋"/>
          <w:b w:val="0"/>
          <w:bCs w:val="0"/>
          <w:i w:val="0"/>
          <w:iCs w:val="0"/>
          <w:caps w:val="0"/>
          <w:color w:val="333333"/>
          <w:spacing w:val="0"/>
          <w:sz w:val="32"/>
          <w:szCs w:val="32"/>
          <w:highlight w:val="none"/>
          <w:shd w:val="clear" w:fill="FFFFFF"/>
          <w:lang w:val="en-US" w:eastAsia="zh-CN"/>
        </w:rPr>
        <w:t>按照《山西省贯彻落实法治政府建设年度报告制度的规定》文件精神，全面总结2024年我县法治建设工作情况，向省委全面依法治省办公室、市委、市政府、市委全面依法治市办公室全面系统汇报了襄垣法治政府建设经验成就。深入学习贯彻习近平法治思想，根据上级统一部署，5月8日，县委全面依法治县办公室组织27个政府组成部门和9个镇的党政主要负责人进行了专题述法。积极推荐申报法治山西建设先进集体，根据《山西省人社厅 山西省司法厅关于开展法治山西建设先进集体和先进个人评选表彰的通知》，按照先进集体评选条件，推荐夏店法庭申报法治山西建设先进集体。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i w:val="0"/>
          <w:iCs w:val="0"/>
          <w:caps w:val="0"/>
          <w:color w:val="333333"/>
          <w:spacing w:val="0"/>
          <w:sz w:val="32"/>
          <w:szCs w:val="32"/>
          <w:highlight w:val="none"/>
          <w:shd w:val="clear" w:fill="FFFFFF"/>
          <w:lang w:val="en-US" w:eastAsia="zh-CN"/>
        </w:rPr>
      </w:pPr>
      <w:r>
        <w:rPr>
          <w:rFonts w:hint="eastAsia" w:ascii="仿宋" w:hAnsi="仿宋" w:eastAsia="仿宋" w:cs="仿宋"/>
          <w:b/>
          <w:bCs/>
          <w:i w:val="0"/>
          <w:iCs w:val="0"/>
          <w:caps w:val="0"/>
          <w:color w:val="333333"/>
          <w:spacing w:val="0"/>
          <w:sz w:val="32"/>
          <w:szCs w:val="32"/>
          <w:highlight w:val="none"/>
          <w:shd w:val="clear" w:fill="FFFFFF"/>
          <w:lang w:val="en-US" w:eastAsia="zh-CN"/>
        </w:rPr>
        <w:t>2.全面实施精准普法。</w:t>
      </w:r>
      <w:r>
        <w:rPr>
          <w:rFonts w:hint="eastAsia" w:ascii="仿宋" w:hAnsi="仿宋" w:eastAsia="仿宋" w:cs="仿宋"/>
          <w:b w:val="0"/>
          <w:bCs w:val="0"/>
          <w:i w:val="0"/>
          <w:iCs w:val="0"/>
          <w:caps w:val="0"/>
          <w:color w:val="333333"/>
          <w:spacing w:val="0"/>
          <w:sz w:val="32"/>
          <w:szCs w:val="32"/>
          <w:highlight w:val="none"/>
          <w:shd w:val="clear" w:fill="FFFFFF"/>
          <w:lang w:val="en-US" w:eastAsia="zh-CN"/>
        </w:rPr>
        <w:t>贯彻实施新出台的《法治宣传教育法》，做好“八五”普法规划收官工作。推动落实“谁执法谁普法”普法责任制，在3.5学雷锋纪念日、3.8妇女节、3.15消费者权益保护日、世界水日，世界旅游日、民法典宣传月等重要时间节点开展“学雷锋 做志愿 服务改革建新功”“情系妇女 法进万家”“优化消费环境 共筑满意消费”“推动水利高质量发展 保障我国水安全”“警惕诈骗新手法，不做电诈工具人”主题普法宣传活动，广泛普及《中华人民共和国宪法》《中华人民共和国民法典》《中华人民共和国消费者权益保护法》《中华人民共和国妇女权益保障法》《中华人民共和国殡葬管理条例》等与人民群众生产生活息息相关的法律知识，引导群众提升法治意识树牢法治思维。建立军队协作共建机制，与武警长治支队执勤六队、武警襄垣中队建立法制军营军地协作共建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highlight w:val="yellow"/>
          <w:lang w:val="en-US" w:eastAsia="zh-CN"/>
        </w:rPr>
      </w:pPr>
      <w:r>
        <w:rPr>
          <w:rFonts w:hint="eastAsia" w:ascii="仿宋" w:hAnsi="仿宋" w:eastAsia="仿宋" w:cs="仿宋"/>
          <w:b/>
          <w:bCs/>
          <w:i w:val="0"/>
          <w:iCs w:val="0"/>
          <w:caps w:val="0"/>
          <w:color w:val="333333"/>
          <w:spacing w:val="0"/>
          <w:sz w:val="32"/>
          <w:szCs w:val="32"/>
          <w:highlight w:val="none"/>
          <w:shd w:val="clear" w:fill="FFFFFF"/>
          <w:lang w:val="en-US" w:eastAsia="zh-CN"/>
        </w:rPr>
        <w:t>3.助力优化营商环境。</w:t>
      </w:r>
      <w:bookmarkStart w:id="2" w:name="OLE_LINK2"/>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深化“半小时公共法律服务圈”提质扩容行动。整合优质法律资源，为全县群众和企业实体提供多元化、“一站式”的法律服务。</w:t>
      </w:r>
      <w:r>
        <w:rPr>
          <w:rFonts w:hint="eastAsia" w:ascii="Times New Roman" w:hAnsi="Times New Roman" w:eastAsia="仿宋_GB2312" w:cs="Times New Roman"/>
          <w:w w:val="100"/>
          <w:kern w:val="2"/>
          <w:sz w:val="32"/>
          <w:szCs w:val="32"/>
          <w:highlight w:val="none"/>
          <w:lang w:val="en-US" w:eastAsia="zh-CN" w:bidi="ar-SA"/>
        </w:rPr>
        <w:t>2025</w:t>
      </w:r>
      <w:r>
        <w:rPr>
          <w:rFonts w:hint="eastAsia" w:ascii="仿宋" w:hAnsi="仿宋" w:eastAsia="仿宋" w:cs="仿宋"/>
          <w:b w:val="0"/>
          <w:bCs w:val="0"/>
          <w:sz w:val="32"/>
          <w:szCs w:val="32"/>
          <w:highlight w:val="none"/>
          <w:lang w:val="en-US" w:eastAsia="zh-CN"/>
        </w:rPr>
        <w:t>年截至目前，县镇两级中心共安排值班律师317人次，免费接待咨询群众1600余人次，</w:t>
      </w:r>
      <w:r>
        <w:rPr>
          <w:rFonts w:hint="eastAsia" w:ascii="仿宋" w:hAnsi="仿宋" w:eastAsia="仿宋" w:cs="仿宋"/>
          <w:b w:val="0"/>
          <w:bCs w:val="0"/>
          <w:color w:val="auto"/>
          <w:sz w:val="32"/>
          <w:szCs w:val="32"/>
          <w:highlight w:val="none"/>
          <w:lang w:val="en-US" w:eastAsia="zh-CN"/>
        </w:rPr>
        <w:t>发放补助资金7万余元。</w:t>
      </w:r>
      <w:bookmarkEnd w:id="2"/>
      <w:bookmarkStart w:id="3" w:name="OLE_LINK1"/>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不断提升法律援助质效。认真落实上级关于保障和改善民生的决策部署，紧密结合经济社会发展实际，及时为符合条件的困难群众提供诉讼和非诉讼援助服务。</w:t>
      </w:r>
      <w:r>
        <w:rPr>
          <w:rFonts w:hint="eastAsia" w:ascii="仿宋" w:hAnsi="仿宋" w:eastAsia="仿宋" w:cs="仿宋"/>
          <w:b w:val="0"/>
          <w:bCs w:val="0"/>
          <w:sz w:val="32"/>
          <w:szCs w:val="32"/>
          <w:highlight w:val="none"/>
          <w:lang w:val="en-US" w:eastAsia="zh-CN"/>
        </w:rPr>
        <w:t>截止目前，共受理指派各类法律援助案件215件，其中民事案件10件，刑事案件97件，认罪认罚律师见证108件。同时开展法律援助宣传、法律咨询7场次，解答法律咨询450余人次，发放宣传资料700余份。</w:t>
      </w:r>
      <w:bookmarkEnd w:id="3"/>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充分发挥公证服务优势。开展“公证规范优质”行动，通过“公证减证便民提速”和“高效办成一件事”活动，积极为群众办实事、解难题，增强群众获得感、幸福感、体验感</w:t>
      </w:r>
      <w:r>
        <w:rPr>
          <w:rFonts w:hint="eastAsia" w:ascii="仿宋" w:hAnsi="仿宋" w:eastAsia="仿宋" w:cs="仿宋"/>
          <w:b w:val="0"/>
          <w:bCs w:val="0"/>
          <w:sz w:val="32"/>
          <w:szCs w:val="32"/>
          <w:highlight w:val="none"/>
          <w:lang w:val="en-US" w:eastAsia="zh-CN"/>
        </w:rPr>
        <w:t>。</w:t>
      </w:r>
      <w:r>
        <w:rPr>
          <w:rFonts w:hint="eastAsia" w:ascii="Times New Roman" w:hAnsi="Times New Roman" w:eastAsia="仿宋_GB2312" w:cs="Times New Roman"/>
          <w:w w:val="100"/>
          <w:kern w:val="2"/>
          <w:sz w:val="32"/>
          <w:szCs w:val="32"/>
          <w:highlight w:val="none"/>
          <w:lang w:val="en-US" w:eastAsia="zh-CN" w:bidi="ar-SA"/>
        </w:rPr>
        <w:t>2025</w:t>
      </w:r>
      <w:r>
        <w:rPr>
          <w:rFonts w:hint="eastAsia" w:ascii="仿宋" w:hAnsi="仿宋" w:eastAsia="仿宋" w:cs="仿宋"/>
          <w:b w:val="0"/>
          <w:bCs w:val="0"/>
          <w:sz w:val="32"/>
          <w:szCs w:val="32"/>
          <w:highlight w:val="none"/>
          <w:lang w:val="en-US" w:eastAsia="zh-CN"/>
        </w:rPr>
        <w:t>年以来，县公证处共办理公证案件85件，其中：国内民事</w:t>
      </w:r>
      <w:r>
        <w:rPr>
          <w:rFonts w:hint="eastAsia" w:ascii="Times New Roman" w:hAnsi="Times New Roman" w:eastAsia="仿宋_GB2312" w:cs="Times New Roman"/>
          <w:w w:val="100"/>
          <w:kern w:val="2"/>
          <w:sz w:val="32"/>
          <w:szCs w:val="32"/>
          <w:highlight w:val="none"/>
          <w:lang w:val="en-US" w:eastAsia="zh-CN" w:bidi="ar-SA"/>
        </w:rPr>
        <w:t>65</w:t>
      </w:r>
      <w:r>
        <w:rPr>
          <w:rFonts w:hint="eastAsia" w:ascii="仿宋" w:hAnsi="仿宋" w:eastAsia="仿宋" w:cs="仿宋"/>
          <w:b w:val="0"/>
          <w:bCs w:val="0"/>
          <w:sz w:val="32"/>
          <w:szCs w:val="32"/>
          <w:highlight w:val="none"/>
          <w:lang w:val="en-US" w:eastAsia="zh-CN"/>
        </w:rPr>
        <w:t>件，涉外民事20件。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i w:val="0"/>
          <w:iCs w:val="0"/>
          <w:caps w:val="0"/>
          <w:color w:val="333333"/>
          <w:spacing w:val="0"/>
          <w:sz w:val="32"/>
          <w:szCs w:val="32"/>
          <w:highlight w:val="none"/>
          <w:shd w:val="clear" w:fill="FFFFFF"/>
          <w:lang w:val="en-US" w:eastAsia="zh-CN"/>
        </w:rPr>
        <w:t>4.强化法律服务行业管理。</w:t>
      </w:r>
      <w:r>
        <w:rPr>
          <w:rFonts w:hint="eastAsia" w:ascii="仿宋" w:hAnsi="仿宋" w:eastAsia="仿宋" w:cs="仿宋"/>
          <w:b w:val="0"/>
          <w:bCs w:val="0"/>
          <w:sz w:val="32"/>
          <w:szCs w:val="32"/>
          <w:highlight w:val="none"/>
          <w:lang w:val="en-US" w:eastAsia="zh-CN"/>
        </w:rPr>
        <w:t>目前，我县共有律师事务所3家，专职律师13名，公职、公司律师24名，基层法律服务所6家（基层法律服务工作者19名），法律服务行业发展整体态势良好。</w:t>
      </w:r>
      <w:r>
        <w:rPr>
          <w:rFonts w:hint="eastAsia" w:ascii="仿宋" w:hAnsi="仿宋" w:eastAsia="仿宋" w:cs="仿宋"/>
          <w:b w:val="0"/>
          <w:bCs w:val="0"/>
          <w:sz w:val="32"/>
          <w:szCs w:val="32"/>
          <w:lang w:val="en-US" w:eastAsia="zh-CN"/>
        </w:rPr>
        <w:t>县司法局不断加强律师执业权利保障和监督管理，经实地考核调研，全县律师（法律服务工作者）认真学习提升政治理论水平，积极参与平台值班和法律援助，积极配合各级机构化解涉法涉诉案件，以实际行动助力优化法治化营商环境。</w:t>
      </w:r>
    </w:p>
    <w:bookmarkEnd w:id="1"/>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（四）防范化解风险，有序推进基层基础相关工作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1.积极开展“一县一所一标杆”创建。</w:t>
      </w:r>
      <w:r>
        <w:rPr>
          <w:rFonts w:hint="eastAsia" w:ascii="仿宋_GB2312" w:hAnsi="仿宋_GB2312" w:eastAsia="仿宋_GB2312" w:cs="仿宋_GB2312"/>
          <w:sz w:val="32"/>
          <w:szCs w:val="32"/>
          <w:lang w:val="en-US" w:eastAsia="zh-CN"/>
        </w:rPr>
        <w:t>根据长治市司法局《关于加强新时代司法所建设开展“一县一所一标杆”提质增效三年行动工作方案（2025-2027年）》精神，</w:t>
      </w:r>
      <w:r>
        <w:rPr>
          <w:rFonts w:hint="eastAsia" w:ascii="仿宋" w:hAnsi="仿宋" w:eastAsia="仿宋" w:cs="仿宋"/>
          <w:sz w:val="32"/>
          <w:szCs w:val="32"/>
        </w:rPr>
        <w:t>以夯基础、强推进、显实效为抓手，</w:t>
      </w:r>
      <w:r>
        <w:rPr>
          <w:rFonts w:hint="eastAsia" w:ascii="仿宋" w:hAnsi="仿宋" w:eastAsia="仿宋" w:cs="仿宋"/>
          <w:sz w:val="32"/>
          <w:szCs w:val="32"/>
          <w:lang w:eastAsia="zh-CN"/>
        </w:rPr>
        <w:t>不断巩固深化“枫桥式”司法所建设成效，以</w:t>
      </w:r>
      <w:r>
        <w:rPr>
          <w:rFonts w:hint="eastAsia" w:ascii="仿宋" w:hAnsi="仿宋" w:eastAsia="仿宋" w:cs="仿宋"/>
          <w:sz w:val="32"/>
          <w:szCs w:val="32"/>
          <w:lang w:val="en-US" w:eastAsia="zh-CN"/>
        </w:rPr>
        <w:t>王桥司法所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侯堡司法所为重点</w:t>
      </w:r>
      <w:r>
        <w:rPr>
          <w:rFonts w:hint="eastAsia" w:ascii="仿宋" w:hAnsi="仿宋" w:eastAsia="仿宋" w:cs="仿宋"/>
          <w:sz w:val="32"/>
          <w:szCs w:val="32"/>
          <w:lang w:eastAsia="zh-CN"/>
        </w:rPr>
        <w:t>，以点带面，构建形成“标杆引领</w:t>
      </w:r>
      <w:r>
        <w:rPr>
          <w:rFonts w:hint="eastAsia" w:ascii="仿宋" w:hAnsi="仿宋" w:eastAsia="仿宋" w:cs="仿宋"/>
          <w:sz w:val="32"/>
          <w:szCs w:val="32"/>
          <w:lang w:val="en-US" w:eastAsia="zh-CN"/>
        </w:rPr>
        <w:t>——区域辐射——全域提升</w:t>
      </w:r>
      <w:r>
        <w:rPr>
          <w:rFonts w:hint="eastAsia" w:ascii="仿宋" w:hAnsi="仿宋" w:eastAsia="仿宋" w:cs="仿宋"/>
          <w:sz w:val="32"/>
          <w:szCs w:val="32"/>
          <w:lang w:eastAsia="zh-CN"/>
        </w:rPr>
        <w:t>”示范引领格局，</w:t>
      </w:r>
      <w:r>
        <w:rPr>
          <w:rFonts w:hint="eastAsia" w:ascii="仿宋" w:hAnsi="仿宋" w:eastAsia="仿宋" w:cs="仿宋"/>
          <w:sz w:val="32"/>
          <w:szCs w:val="32"/>
        </w:rPr>
        <w:t>筑牢基层法治建设根基</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_GB2312" w:hAnsi="仿宋_GB2312" w:eastAsia="仿宋_GB2312" w:cs="仿宋_GB2312"/>
          <w:kern w:val="2"/>
          <w:sz w:val="32"/>
          <w:szCs w:val="32"/>
          <w:highlight w:val="none"/>
          <w:lang w:val="en-US" w:eastAsia="zh-CN" w:bidi="ar-SA"/>
        </w:rPr>
      </w:pPr>
      <w:bookmarkStart w:id="4" w:name="OLE_LINK4"/>
      <w:r>
        <w:rPr>
          <w:rFonts w:hint="eastAsia" w:ascii="仿宋" w:hAnsi="仿宋" w:eastAsia="仿宋" w:cs="仿宋"/>
          <w:b/>
          <w:bCs/>
          <w:sz w:val="32"/>
          <w:szCs w:val="32"/>
          <w:lang w:val="en-US" w:eastAsia="zh-CN"/>
        </w:rPr>
        <w:t>2.强化基层矛盾纠纷化解。</w:t>
      </w:r>
      <w:r>
        <w:rPr>
          <w:rFonts w:hint="eastAsia" w:ascii="仿宋_GB2312" w:hAnsi="仿宋_GB2312" w:eastAsia="仿宋_GB2312" w:cs="仿宋_GB2312"/>
          <w:kern w:val="2"/>
          <w:sz w:val="32"/>
          <w:szCs w:val="32"/>
          <w:lang w:val="en-US" w:eastAsia="zh-CN" w:bidi="ar-SA"/>
        </w:rPr>
        <w:t>充分发挥人民调解“第一道防线”作用，持续推进人民调解进网格、物业、企业、市场、法庭、派出所等工作。</w:t>
      </w:r>
      <w:r>
        <w:rPr>
          <w:rFonts w:hint="eastAsia" w:ascii="仿宋_GB2312" w:hAnsi="仿宋_GB2312" w:eastAsia="仿宋_GB2312" w:cs="仿宋_GB2312"/>
          <w:kern w:val="2"/>
          <w:sz w:val="32"/>
          <w:szCs w:val="32"/>
          <w:highlight w:val="none"/>
          <w:lang w:val="en-US" w:eastAsia="zh-CN" w:bidi="ar-SA"/>
        </w:rPr>
        <w:t>组织800名调解员参加“提升化解矛盾风险法治化 推进中国式调解现代化”主题调解线上培训</w:t>
      </w:r>
      <w:r>
        <w:rPr>
          <w:rFonts w:hint="eastAsia" w:ascii="仿宋" w:hAnsi="仿宋" w:eastAsia="仿宋" w:cs="仿宋"/>
          <w:b w:val="0"/>
          <w:bCs w:val="0"/>
          <w:sz w:val="32"/>
          <w:szCs w:val="32"/>
          <w:highlight w:val="none"/>
          <w:lang w:val="en-US" w:eastAsia="zh-CN"/>
        </w:rPr>
        <w:t>。2025年截至目前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全县</w:t>
      </w:r>
      <w:r>
        <w:rPr>
          <w:rFonts w:hint="eastAsia" w:ascii="仿宋" w:hAnsi="仿宋" w:eastAsia="仿宋" w:cs="仿宋"/>
          <w:sz w:val="32"/>
          <w:szCs w:val="32"/>
          <w:highlight w:val="none"/>
          <w:lang w:eastAsia="zh-CN"/>
        </w:rPr>
        <w:t>各级调委会共调处各类矛盾纠纷</w:t>
      </w:r>
      <w:r>
        <w:rPr>
          <w:rFonts w:hint="eastAsia" w:ascii="仿宋" w:hAnsi="仿宋" w:eastAsia="仿宋" w:cs="仿宋"/>
          <w:sz w:val="32"/>
          <w:szCs w:val="32"/>
          <w:highlight w:val="none"/>
          <w:lang w:val="en-US" w:eastAsia="zh-CN"/>
        </w:rPr>
        <w:t>523件</w:t>
      </w:r>
      <w:r>
        <w:rPr>
          <w:rFonts w:hint="eastAsia" w:ascii="仿宋" w:hAnsi="仿宋" w:eastAsia="仿宋" w:cs="仿宋"/>
          <w:b w:val="0"/>
          <w:bCs w:val="0"/>
          <w:sz w:val="32"/>
          <w:szCs w:val="32"/>
          <w:highlight w:val="none"/>
          <w:lang w:val="en-US" w:eastAsia="zh-CN"/>
        </w:rPr>
        <w:t>，</w:t>
      </w:r>
      <w:r>
        <w:rPr>
          <w:rFonts w:hint="eastAsia" w:ascii="仿宋" w:hAnsi="仿宋" w:eastAsia="仿宋" w:cs="仿宋"/>
          <w:sz w:val="32"/>
          <w:szCs w:val="32"/>
          <w:highlight w:val="none"/>
          <w:lang w:val="en-US" w:eastAsia="zh-CN"/>
        </w:rPr>
        <w:t>调解成功率与履行率达</w:t>
      </w:r>
      <w:r>
        <w:rPr>
          <w:rFonts w:hint="eastAsia" w:ascii="仿宋" w:hAnsi="仿宋" w:eastAsia="仿宋" w:cs="仿宋"/>
          <w:b w:val="0"/>
          <w:bCs w:val="0"/>
          <w:sz w:val="32"/>
          <w:szCs w:val="32"/>
          <w:highlight w:val="none"/>
          <w:lang w:val="en-US" w:eastAsia="zh-CN"/>
        </w:rPr>
        <w:t>98%以上</w:t>
      </w:r>
      <w:r>
        <w:rPr>
          <w:rFonts w:hint="eastAsia" w:ascii="仿宋_GB2312" w:hAnsi="仿宋_GB2312" w:eastAsia="仿宋_GB2312" w:cs="仿宋_GB2312"/>
          <w:sz w:val="32"/>
          <w:szCs w:val="32"/>
          <w:highlight w:val="none"/>
          <w:lang w:val="en-US" w:eastAsia="zh-CN"/>
        </w:rPr>
        <w:t>。</w:t>
      </w:r>
    </w:p>
    <w:bookmarkEnd w:id="4"/>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bookmarkStart w:id="5" w:name="OLE_LINK5"/>
      <w:r>
        <w:rPr>
          <w:rFonts w:hint="eastAsia" w:ascii="仿宋" w:hAnsi="仿宋" w:eastAsia="仿宋" w:cs="仿宋"/>
          <w:b/>
          <w:bCs/>
          <w:color w:val="000000" w:themeColor="text1"/>
          <w:sz w:val="32"/>
          <w:szCs w:val="32"/>
          <w:highlight w:val="none"/>
          <w:lang w:val="en-US" w:eastAsia="zh-CN"/>
          <w14:textFill>
            <w14:solidFill>
              <w14:schemeClr w14:val="tx1"/>
            </w14:solidFill>
          </w14:textFill>
        </w:rPr>
        <w:t>3.守牢社区矫正监管底线。</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继续深化社区矫正“一局一中心”工作，积极筹备《中华人民共和国社区矫正法》颁布实施五周年系列活动。贯彻落实《山西省社区矫正教育帮扶办法》，积极开展社区矫正对象监管帮教工作，2025年1-6月，社区矫正管理局共开展社区矫正适用前调查评估80件，接收社区矫正对象60人，解除41人，目前在册195人，未发生社区矫正安全事故，未发生任何涉社区矫正案事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 w:val="0"/>
          <w:bCs w:val="0"/>
          <w:i w:val="0"/>
          <w:caps w:val="0"/>
          <w:spacing w:val="0"/>
          <w:w w:val="100"/>
          <w:sz w:val="32"/>
          <w:szCs w:val="32"/>
          <w:highlight w:val="none"/>
          <w:lang w:val="en-US" w:eastAsia="zh-CN"/>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4.规范落实安置帮教工作。</w:t>
      </w:r>
      <w:r>
        <w:rPr>
          <w:rFonts w:hint="eastAsia" w:ascii="仿宋" w:hAnsi="仿宋" w:eastAsia="仿宋" w:cs="仿宋"/>
          <w:b w:val="0"/>
          <w:bCs w:val="0"/>
          <w:sz w:val="32"/>
          <w:szCs w:val="32"/>
          <w:lang w:val="en-US" w:eastAsia="zh-CN"/>
        </w:rPr>
        <w:t>全面落实重点帮教对象“必接必送”要求，</w:t>
      </w:r>
      <w:r>
        <w:rPr>
          <w:rFonts w:hint="eastAsia" w:ascii="仿宋" w:hAnsi="仿宋" w:eastAsia="仿宋" w:cs="仿宋"/>
          <w:b w:val="0"/>
          <w:bCs w:val="0"/>
          <w:i w:val="0"/>
          <w:iCs w:val="0"/>
          <w:sz w:val="32"/>
          <w:szCs w:val="32"/>
        </w:rPr>
        <w:t>确保刑满释放人员无缝衔接到位，责任落实</w:t>
      </w:r>
      <w:r>
        <w:rPr>
          <w:rFonts w:hint="eastAsia" w:ascii="仿宋" w:hAnsi="仿宋" w:eastAsia="仿宋" w:cs="仿宋"/>
          <w:b w:val="0"/>
          <w:bCs w:val="0"/>
          <w:i w:val="0"/>
          <w:iCs w:val="0"/>
          <w:sz w:val="32"/>
          <w:szCs w:val="32"/>
          <w:lang w:val="en-US" w:eastAsia="zh-CN"/>
        </w:rPr>
        <w:t>到位</w:t>
      </w:r>
      <w:r>
        <w:rPr>
          <w:rFonts w:hint="eastAsia" w:ascii="仿宋" w:hAnsi="仿宋" w:eastAsia="仿宋" w:cs="仿宋"/>
          <w:b w:val="0"/>
          <w:bCs w:val="0"/>
          <w:i w:val="0"/>
          <w:iCs w:val="0"/>
          <w:sz w:val="32"/>
          <w:szCs w:val="32"/>
          <w:highlight w:val="none"/>
        </w:rPr>
        <w:t>。</w:t>
      </w:r>
      <w:r>
        <w:rPr>
          <w:rFonts w:hint="eastAsia" w:ascii="仿宋" w:hAnsi="仿宋" w:eastAsia="仿宋" w:cs="仿宋"/>
          <w:b w:val="0"/>
          <w:bCs w:val="0"/>
          <w:i w:val="0"/>
          <w:iCs w:val="0"/>
          <w:sz w:val="32"/>
          <w:szCs w:val="32"/>
          <w:highlight w:val="none"/>
          <w:lang w:val="en-US" w:eastAsia="zh-CN"/>
        </w:rPr>
        <w:t>截止目前，</w:t>
      </w:r>
      <w:r>
        <w:rPr>
          <w:rFonts w:hint="eastAsia" w:ascii="仿宋" w:hAnsi="仿宋" w:eastAsia="仿宋" w:cs="仿宋"/>
          <w:b w:val="0"/>
          <w:bCs w:val="0"/>
          <w:i w:val="0"/>
          <w:iCs w:val="0"/>
          <w:sz w:val="32"/>
          <w:szCs w:val="32"/>
          <w:highlight w:val="none"/>
        </w:rPr>
        <w:t>全县</w:t>
      </w:r>
      <w:r>
        <w:rPr>
          <w:rFonts w:hint="eastAsia" w:ascii="仿宋" w:hAnsi="仿宋" w:eastAsia="仿宋" w:cs="仿宋"/>
          <w:b w:val="0"/>
          <w:bCs w:val="0"/>
          <w:i w:val="0"/>
          <w:iCs w:val="0"/>
          <w:sz w:val="32"/>
          <w:szCs w:val="32"/>
          <w:highlight w:val="none"/>
          <w:lang w:val="en-US" w:eastAsia="zh-CN"/>
        </w:rPr>
        <w:t>共有</w:t>
      </w:r>
      <w:r>
        <w:rPr>
          <w:rFonts w:hint="eastAsia" w:ascii="仿宋" w:hAnsi="仿宋" w:eastAsia="仿宋" w:cs="仿宋"/>
          <w:b w:val="0"/>
          <w:bCs w:val="0"/>
          <w:i w:val="0"/>
          <w:iCs w:val="0"/>
          <w:sz w:val="32"/>
          <w:szCs w:val="32"/>
          <w:highlight w:val="none"/>
        </w:rPr>
        <w:t>安置帮教对象</w:t>
      </w:r>
      <w:r>
        <w:rPr>
          <w:rFonts w:hint="eastAsia" w:ascii="仿宋" w:hAnsi="仿宋" w:eastAsia="仿宋" w:cs="仿宋"/>
          <w:b w:val="0"/>
          <w:bCs w:val="0"/>
          <w:i w:val="0"/>
          <w:iCs w:val="0"/>
          <w:sz w:val="32"/>
          <w:szCs w:val="32"/>
          <w:highlight w:val="none"/>
          <w:lang w:val="en-US" w:eastAsia="zh-CN"/>
        </w:rPr>
        <w:t>766</w:t>
      </w:r>
      <w:r>
        <w:rPr>
          <w:rFonts w:hint="eastAsia" w:ascii="仿宋" w:hAnsi="仿宋" w:eastAsia="仿宋" w:cs="仿宋"/>
          <w:b w:val="0"/>
          <w:bCs w:val="0"/>
          <w:i w:val="0"/>
          <w:iCs w:val="0"/>
          <w:sz w:val="32"/>
          <w:szCs w:val="32"/>
          <w:highlight w:val="none"/>
        </w:rPr>
        <w:t>人，其中</w:t>
      </w:r>
      <w:r>
        <w:rPr>
          <w:rFonts w:hint="eastAsia" w:ascii="仿宋" w:hAnsi="仿宋" w:eastAsia="仿宋" w:cs="仿宋"/>
          <w:b w:val="0"/>
          <w:bCs w:val="0"/>
          <w:i w:val="0"/>
          <w:iCs w:val="0"/>
          <w:sz w:val="32"/>
          <w:szCs w:val="32"/>
          <w:highlight w:val="none"/>
          <w:lang w:eastAsia="zh-CN"/>
        </w:rPr>
        <w:t>：</w:t>
      </w:r>
      <w:r>
        <w:rPr>
          <w:rFonts w:hint="eastAsia" w:ascii="仿宋" w:hAnsi="仿宋" w:eastAsia="仿宋" w:cs="仿宋"/>
          <w:b w:val="0"/>
          <w:bCs w:val="0"/>
          <w:i w:val="0"/>
          <w:iCs w:val="0"/>
          <w:sz w:val="32"/>
          <w:szCs w:val="32"/>
          <w:highlight w:val="none"/>
        </w:rPr>
        <w:t>重点帮教对象</w:t>
      </w:r>
      <w:r>
        <w:rPr>
          <w:rFonts w:hint="eastAsia" w:ascii="仿宋" w:hAnsi="仿宋" w:eastAsia="仿宋" w:cs="仿宋"/>
          <w:b w:val="0"/>
          <w:bCs w:val="0"/>
          <w:i w:val="0"/>
          <w:iCs w:val="0"/>
          <w:sz w:val="32"/>
          <w:szCs w:val="32"/>
          <w:highlight w:val="none"/>
          <w:lang w:val="en-US" w:eastAsia="zh-CN"/>
        </w:rPr>
        <w:t>81</w:t>
      </w:r>
      <w:r>
        <w:rPr>
          <w:rFonts w:hint="eastAsia" w:ascii="仿宋" w:hAnsi="仿宋" w:eastAsia="仿宋" w:cs="仿宋"/>
          <w:b w:val="0"/>
          <w:bCs w:val="0"/>
          <w:i w:val="0"/>
          <w:iCs w:val="0"/>
          <w:sz w:val="32"/>
          <w:szCs w:val="32"/>
          <w:highlight w:val="none"/>
        </w:rPr>
        <w:t>人</w:t>
      </w:r>
      <w:r>
        <w:rPr>
          <w:rFonts w:hint="eastAsia" w:ascii="仿宋" w:hAnsi="仿宋" w:eastAsia="仿宋" w:cs="仿宋"/>
          <w:b w:val="0"/>
          <w:bCs w:val="0"/>
          <w:i w:val="0"/>
          <w:iCs w:val="0"/>
          <w:sz w:val="32"/>
          <w:szCs w:val="32"/>
          <w:highlight w:val="none"/>
          <w:lang w:eastAsia="zh-CN"/>
        </w:rPr>
        <w:t>，</w:t>
      </w:r>
      <w:r>
        <w:rPr>
          <w:rFonts w:hint="eastAsia" w:ascii="仿宋" w:hAnsi="仿宋" w:eastAsia="仿宋" w:cs="仿宋"/>
          <w:b w:val="0"/>
          <w:bCs w:val="0"/>
          <w:i w:val="0"/>
          <w:iCs w:val="0"/>
          <w:sz w:val="32"/>
          <w:szCs w:val="32"/>
          <w:highlight w:val="none"/>
          <w:lang w:val="en-US" w:eastAsia="zh-CN"/>
        </w:rPr>
        <w:t>今年共</w:t>
      </w:r>
      <w:r>
        <w:rPr>
          <w:rFonts w:hint="eastAsia" w:ascii="仿宋" w:hAnsi="仿宋" w:eastAsia="仿宋" w:cs="仿宋"/>
          <w:b w:val="0"/>
          <w:bCs w:val="0"/>
          <w:i w:val="0"/>
          <w:iCs w:val="0"/>
          <w:sz w:val="32"/>
          <w:szCs w:val="32"/>
          <w:highlight w:val="none"/>
        </w:rPr>
        <w:t>衔接</w:t>
      </w:r>
      <w:r>
        <w:rPr>
          <w:rFonts w:hint="eastAsia" w:ascii="仿宋" w:hAnsi="仿宋" w:eastAsia="仿宋" w:cs="仿宋"/>
          <w:b w:val="0"/>
          <w:bCs w:val="0"/>
          <w:i w:val="0"/>
          <w:iCs w:val="0"/>
          <w:sz w:val="32"/>
          <w:szCs w:val="32"/>
          <w:highlight w:val="none"/>
          <w:lang w:val="en-US" w:eastAsia="zh-CN"/>
        </w:rPr>
        <w:t>刑满释放人员77人</w:t>
      </w:r>
      <w:r>
        <w:rPr>
          <w:rFonts w:hint="eastAsia" w:ascii="仿宋" w:hAnsi="仿宋" w:eastAsia="仿宋" w:cs="仿宋"/>
          <w:b w:val="0"/>
          <w:bCs w:val="0"/>
          <w:i w:val="0"/>
          <w:iCs w:val="0"/>
          <w:sz w:val="32"/>
          <w:szCs w:val="32"/>
          <w:highlight w:val="none"/>
        </w:rPr>
        <w:t>。</w:t>
      </w:r>
      <w:r>
        <w:rPr>
          <w:rFonts w:hint="eastAsia" w:ascii="仿宋_GB2312" w:hAnsi="仿宋_GB2312" w:eastAsia="仿宋_GB2312" w:cs="仿宋_GB2312"/>
          <w:b w:val="0"/>
          <w:bCs w:val="0"/>
          <w:i w:val="0"/>
          <w:caps w:val="0"/>
          <w:spacing w:val="0"/>
          <w:w w:val="100"/>
          <w:sz w:val="32"/>
          <w:szCs w:val="32"/>
          <w:highlight w:val="none"/>
          <w:lang w:val="en-US" w:eastAsia="zh-CN"/>
        </w:rPr>
        <w:t>全县服刑人员信息核查率100%，核查成功率100%，衔接率94%。9个司法所共接受预约远程视频会见382人次，成功会见304人次。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6"/>
        <w:jc w:val="left"/>
        <w:textAlignment w:val="auto"/>
        <w:rPr>
          <w:rStyle w:val="9"/>
          <w:rFonts w:hint="eastAsia" w:ascii="黑体" w:hAnsi="黑体" w:eastAsia="黑体" w:cs="黑体"/>
          <w:i w:val="0"/>
          <w:iCs w:val="0"/>
          <w:caps w:val="0"/>
          <w:color w:val="333333"/>
          <w:spacing w:val="0"/>
          <w:sz w:val="32"/>
          <w:szCs w:val="32"/>
          <w:shd w:val="clear" w:fill="FFFFFF"/>
          <w:lang w:val="en-US" w:eastAsia="zh-CN"/>
        </w:rPr>
      </w:pPr>
      <w:r>
        <w:rPr>
          <w:rStyle w:val="9"/>
          <w:rFonts w:hint="eastAsia" w:ascii="黑体" w:hAnsi="黑体" w:eastAsia="黑体" w:cs="黑体"/>
          <w:i w:val="0"/>
          <w:iCs w:val="0"/>
          <w:caps w:val="0"/>
          <w:color w:val="333333"/>
          <w:spacing w:val="0"/>
          <w:sz w:val="32"/>
          <w:szCs w:val="32"/>
          <w:shd w:val="clear" w:fill="FFFFFF"/>
          <w:lang w:val="en-US" w:eastAsia="zh-CN"/>
        </w:rPr>
        <w:t>三、存在问题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6"/>
        <w:jc w:val="left"/>
        <w:textAlignment w:val="auto"/>
        <w:rPr>
          <w:rFonts w:hint="eastAsia" w:ascii="仿宋" w:hAnsi="仿宋" w:eastAsia="仿宋" w:cs="仿宋"/>
          <w:b w:val="0"/>
          <w:bCs w:val="0"/>
          <w:i w:val="0"/>
          <w:caps w:val="0"/>
          <w:spacing w:val="0"/>
          <w:w w:val="100"/>
          <w:sz w:val="32"/>
          <w:szCs w:val="32"/>
          <w:highlight w:val="none"/>
          <w:lang w:val="en-US" w:eastAsia="zh-CN"/>
        </w:rPr>
      </w:pPr>
      <w:r>
        <w:rPr>
          <w:rFonts w:hint="eastAsia" w:ascii="仿宋" w:hAnsi="仿宋" w:eastAsia="仿宋" w:cs="仿宋"/>
          <w:b w:val="0"/>
          <w:bCs w:val="0"/>
          <w:sz w:val="32"/>
          <w:szCs w:val="32"/>
          <w:lang w:val="en-US" w:eastAsia="zh-CN"/>
        </w:rPr>
        <w:t>2025年，县司法局围绕法治襄垣建设做了一些工作，但依然存在不少问题和困难。一</w:t>
      </w:r>
      <w:r>
        <w:rPr>
          <w:rFonts w:hint="eastAsia" w:ascii="仿宋" w:hAnsi="仿宋" w:eastAsia="仿宋" w:cs="仿宋"/>
          <w:b/>
          <w:bCs/>
          <w:sz w:val="32"/>
          <w:szCs w:val="32"/>
          <w:lang w:val="en-US" w:eastAsia="zh-CN"/>
        </w:rPr>
        <w:t>是执法监督质效不高：</w:t>
      </w:r>
      <w:r>
        <w:rPr>
          <w:rFonts w:hint="eastAsia" w:ascii="仿宋" w:hAnsi="仿宋" w:eastAsia="仿宋" w:cs="仿宋"/>
          <w:b w:val="0"/>
          <w:bCs w:val="0"/>
          <w:sz w:val="32"/>
          <w:szCs w:val="32"/>
          <w:lang w:val="en-US" w:eastAsia="zh-CN"/>
        </w:rPr>
        <w:t>乡镇综合执法改革推进缓慢，赋权事项承接能力不足，执法力量配备与规范化要求不匹配；二</w:t>
      </w:r>
      <w:r>
        <w:rPr>
          <w:rFonts w:hint="eastAsia" w:ascii="仿宋" w:hAnsi="仿宋" w:eastAsia="仿宋" w:cs="仿宋"/>
          <w:b/>
          <w:bCs/>
          <w:sz w:val="32"/>
          <w:szCs w:val="32"/>
          <w:lang w:val="en-US" w:eastAsia="zh-CN"/>
        </w:rPr>
        <w:t>是基层治理基础不牢。</w:t>
      </w:r>
      <w:r>
        <w:rPr>
          <w:rFonts w:hint="eastAsia" w:ascii="仿宋" w:hAnsi="仿宋" w:eastAsia="仿宋" w:cs="仿宋"/>
          <w:b w:val="0"/>
          <w:bCs w:val="0"/>
          <w:sz w:val="32"/>
          <w:szCs w:val="32"/>
          <w:lang w:val="en-US" w:eastAsia="zh-CN"/>
        </w:rPr>
        <w:t>基层司法所人员及经费保障相对薄弱，社区矫正多部门</w:t>
      </w:r>
      <w:r>
        <w:rPr>
          <w:rFonts w:hint="eastAsia" w:ascii="仿宋" w:hAnsi="仿宋" w:eastAsia="仿宋" w:cs="仿宋"/>
          <w:b w:val="0"/>
          <w:bCs w:val="0"/>
          <w:sz w:val="32"/>
          <w:szCs w:val="32"/>
          <w:highlight w:val="none"/>
          <w:lang w:val="en-US" w:eastAsia="zh-CN"/>
        </w:rPr>
        <w:t>衔接不够</w:t>
      </w:r>
      <w:r>
        <w:rPr>
          <w:rFonts w:hint="eastAsia" w:ascii="仿宋" w:hAnsi="仿宋" w:eastAsia="仿宋" w:cs="仿宋"/>
          <w:b w:val="0"/>
          <w:bCs w:val="0"/>
          <w:sz w:val="32"/>
          <w:szCs w:val="32"/>
          <w:lang w:val="en-US" w:eastAsia="zh-CN"/>
        </w:rPr>
        <w:t>，安置帮教资源整合不足，</w:t>
      </w:r>
      <w:r>
        <w:rPr>
          <w:rFonts w:hint="eastAsia" w:ascii="仿宋" w:hAnsi="仿宋" w:eastAsia="仿宋" w:cs="仿宋"/>
          <w:b w:val="0"/>
          <w:bCs w:val="0"/>
          <w:sz w:val="32"/>
          <w:szCs w:val="32"/>
          <w:highlight w:val="none"/>
          <w:lang w:val="en-US" w:eastAsia="zh-CN"/>
        </w:rPr>
        <w:t>人民调解未形成特色品牌。三</w:t>
      </w:r>
      <w:r>
        <w:rPr>
          <w:rFonts w:hint="eastAsia" w:ascii="仿宋" w:hAnsi="仿宋" w:eastAsia="仿宋" w:cs="仿宋"/>
          <w:b/>
          <w:bCs/>
          <w:sz w:val="32"/>
          <w:szCs w:val="32"/>
          <w:lang w:val="en-US" w:eastAsia="zh-CN"/>
        </w:rPr>
        <w:t>是公共法律服务水平还有待提高。</w:t>
      </w:r>
      <w:r>
        <w:rPr>
          <w:rFonts w:hint="eastAsia" w:ascii="仿宋" w:hAnsi="仿宋" w:eastAsia="仿宋" w:cs="仿宋"/>
          <w:b w:val="0"/>
          <w:bCs w:val="0"/>
          <w:sz w:val="32"/>
          <w:szCs w:val="32"/>
          <w:lang w:val="en-US" w:eastAsia="zh-CN"/>
        </w:rPr>
        <w:t>法律服务供给不均，高端法治人才短缺，普法形式创新不足，公共法律服务覆盖面与群众需求存在差距。</w:t>
      </w:r>
    </w:p>
    <w:bookmarkEnd w:id="5"/>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黑体" w:hAnsi="黑体" w:eastAsia="黑体" w:cs="黑体"/>
          <w:b/>
          <w:bCs/>
          <w:i w:val="0"/>
          <w:caps w:val="0"/>
          <w:spacing w:val="0"/>
          <w:w w:val="100"/>
          <w:sz w:val="32"/>
          <w:szCs w:val="32"/>
          <w:lang w:val="en-US" w:eastAsia="zh-CN"/>
        </w:rPr>
      </w:pPr>
      <w:r>
        <w:rPr>
          <w:rFonts w:hint="eastAsia" w:ascii="黑体" w:hAnsi="黑体" w:eastAsia="黑体" w:cs="黑体"/>
          <w:b/>
          <w:bCs/>
          <w:i w:val="0"/>
          <w:caps w:val="0"/>
          <w:spacing w:val="0"/>
          <w:w w:val="100"/>
          <w:sz w:val="32"/>
          <w:szCs w:val="32"/>
          <w:lang w:val="en-US" w:eastAsia="zh-CN"/>
        </w:rPr>
        <w:t>四、下半年工作计划</w:t>
      </w:r>
    </w:p>
    <w:p>
      <w:pPr>
        <w:pStyle w:val="3"/>
        <w:keepNext w:val="0"/>
        <w:keepLines w:val="0"/>
        <w:pageBreakBefore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default"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根据全县司法行政高质量发展需要，下一步重点抓好三方面工作：</w:t>
      </w:r>
    </w:p>
    <w:p>
      <w:pPr>
        <w:pStyle w:val="3"/>
        <w:keepNext w:val="0"/>
        <w:keepLines w:val="0"/>
        <w:pageBreakBefore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textAlignment w:val="auto"/>
        <w:rPr>
          <w:rFonts w:hint="default" w:ascii="仿宋" w:hAnsi="仿宋" w:eastAsia="仿宋" w:cs="仿宋"/>
          <w:b w:val="0"/>
          <w:bCs w:val="0"/>
          <w:color w:val="000000"/>
          <w:kern w:val="2"/>
          <w:sz w:val="32"/>
          <w:szCs w:val="32"/>
          <w:lang w:val="en-US" w:eastAsia="zh-CN"/>
        </w:rPr>
      </w:pPr>
      <w:r>
        <w:rPr>
          <w:rFonts w:hint="eastAsia" w:ascii="楷体" w:hAnsi="楷体" w:eastAsia="楷体" w:cs="楷体"/>
          <w:b/>
          <w:bCs/>
          <w:kern w:val="2"/>
          <w:sz w:val="32"/>
          <w:szCs w:val="32"/>
          <w:lang w:val="en-US" w:eastAsia="zh-CN" w:bidi="ar-SA"/>
        </w:rPr>
        <w:t>（一）深入推进全面依法治县。</w:t>
      </w:r>
      <w:r>
        <w:rPr>
          <w:rFonts w:hint="eastAsia" w:ascii="仿宋" w:hAnsi="仿宋" w:eastAsia="仿宋" w:cs="仿宋"/>
          <w:b w:val="0"/>
          <w:bCs w:val="0"/>
          <w:color w:val="000000"/>
          <w:kern w:val="2"/>
          <w:sz w:val="32"/>
          <w:szCs w:val="32"/>
        </w:rPr>
        <w:t>认真履行全面依法治</w:t>
      </w:r>
      <w:r>
        <w:rPr>
          <w:rFonts w:hint="eastAsia" w:ascii="仿宋" w:hAnsi="仿宋" w:eastAsia="仿宋" w:cs="仿宋"/>
          <w:b w:val="0"/>
          <w:bCs w:val="0"/>
          <w:color w:val="000000"/>
          <w:kern w:val="2"/>
          <w:sz w:val="32"/>
          <w:szCs w:val="32"/>
          <w:lang w:val="en-US" w:eastAsia="zh-CN"/>
        </w:rPr>
        <w:t>县委员会</w:t>
      </w:r>
      <w:r>
        <w:rPr>
          <w:rFonts w:hint="eastAsia" w:ascii="仿宋" w:hAnsi="仿宋" w:eastAsia="仿宋" w:cs="仿宋"/>
          <w:b w:val="0"/>
          <w:bCs w:val="0"/>
          <w:color w:val="000000"/>
          <w:kern w:val="2"/>
          <w:sz w:val="32"/>
          <w:szCs w:val="32"/>
        </w:rPr>
        <w:t>办公室工作职责，持续加强领导干部、公务员、青少年、企业经营人员和农民的法治宣传教育。</w:t>
      </w:r>
      <w:r>
        <w:rPr>
          <w:rFonts w:hint="eastAsia" w:ascii="仿宋" w:hAnsi="仿宋" w:eastAsia="仿宋" w:cs="仿宋"/>
          <w:b w:val="0"/>
          <w:bCs w:val="0"/>
          <w:color w:val="000000"/>
          <w:kern w:val="2"/>
          <w:sz w:val="32"/>
          <w:szCs w:val="32"/>
          <w:lang w:val="en-US" w:eastAsia="zh-CN"/>
        </w:rPr>
        <w:t>以服务县委、县政府中心大局为目标，积极谋划多元化普法宣传活动</w:t>
      </w:r>
      <w:r>
        <w:rPr>
          <w:rFonts w:hint="eastAsia" w:ascii="仿宋" w:hAnsi="仿宋" w:eastAsia="仿宋" w:cs="仿宋"/>
          <w:b w:val="0"/>
          <w:bCs w:val="0"/>
          <w:color w:val="000000"/>
          <w:kern w:val="2"/>
          <w:sz w:val="32"/>
          <w:szCs w:val="32"/>
        </w:rPr>
        <w:t>，不断增强广大公民的法律意识</w:t>
      </w:r>
      <w:r>
        <w:rPr>
          <w:rFonts w:hint="eastAsia" w:ascii="仿宋" w:hAnsi="仿宋" w:eastAsia="仿宋" w:cs="仿宋"/>
          <w:b w:val="0"/>
          <w:bCs w:val="0"/>
          <w:color w:val="000000"/>
          <w:kern w:val="2"/>
          <w:sz w:val="32"/>
          <w:szCs w:val="32"/>
          <w:lang w:eastAsia="zh-CN"/>
        </w:rPr>
        <w:t>，提升公共法律服务水平和覆盖面，</w:t>
      </w:r>
      <w:r>
        <w:rPr>
          <w:rFonts w:hint="eastAsia" w:ascii="仿宋" w:hAnsi="仿宋" w:eastAsia="仿宋" w:cs="仿宋"/>
          <w:b w:val="0"/>
          <w:bCs w:val="0"/>
          <w:color w:val="000000"/>
          <w:kern w:val="2"/>
          <w:sz w:val="32"/>
          <w:szCs w:val="32"/>
          <w:lang w:val="en-US" w:eastAsia="zh-CN"/>
        </w:rPr>
        <w:t>为不断优化营商环境</w:t>
      </w:r>
      <w:r>
        <w:rPr>
          <w:rFonts w:hint="eastAsia" w:ascii="仿宋" w:hAnsi="仿宋" w:eastAsia="仿宋" w:cs="仿宋"/>
          <w:b w:val="0"/>
          <w:bCs w:val="0"/>
          <w:color w:val="000000"/>
          <w:kern w:val="2"/>
          <w:sz w:val="32"/>
          <w:szCs w:val="32"/>
        </w:rPr>
        <w:t>发挥法治引领保障作用</w:t>
      </w:r>
      <w:r>
        <w:rPr>
          <w:rFonts w:hint="eastAsia" w:ascii="仿宋" w:hAnsi="仿宋" w:eastAsia="仿宋" w:cs="仿宋"/>
          <w:b w:val="0"/>
          <w:bCs w:val="0"/>
          <w:color w:val="000000"/>
          <w:kern w:val="2"/>
          <w:sz w:val="32"/>
          <w:szCs w:val="32"/>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3" w:firstLineChars="200"/>
        <w:textAlignment w:val="auto"/>
        <w:rPr>
          <w:rFonts w:hint="eastAsia" w:ascii="仿宋" w:hAnsi="仿宋" w:eastAsia="仿宋" w:cs="仿宋"/>
          <w:b w:val="0"/>
          <w:bCs w:val="0"/>
          <w:color w:val="000000"/>
          <w:kern w:val="2"/>
          <w:sz w:val="32"/>
          <w:szCs w:val="32"/>
          <w:lang w:eastAsia="zh-CN"/>
        </w:rPr>
      </w:pPr>
      <w:r>
        <w:rPr>
          <w:rFonts w:hint="eastAsia" w:ascii="楷体" w:hAnsi="楷体" w:eastAsia="楷体" w:cs="楷体"/>
          <w:b/>
          <w:bCs/>
          <w:kern w:val="2"/>
          <w:sz w:val="32"/>
          <w:szCs w:val="32"/>
          <w:lang w:val="en-US" w:eastAsia="zh-CN" w:bidi="ar-SA"/>
        </w:rPr>
        <w:t>（二）提高行政执法工作质量。</w:t>
      </w:r>
      <w:r>
        <w:rPr>
          <w:rFonts w:hint="eastAsia" w:ascii="仿宋" w:hAnsi="仿宋" w:eastAsia="仿宋" w:cs="仿宋"/>
          <w:sz w:val="32"/>
          <w:szCs w:val="32"/>
        </w:rPr>
        <w:t>加快落实“提升行政执法质量三年行动计划”，促进严格规范公正文明执法。开展全</w:t>
      </w:r>
      <w:r>
        <w:rPr>
          <w:rFonts w:hint="eastAsia" w:ascii="仿宋" w:hAnsi="仿宋" w:eastAsia="仿宋" w:cs="仿宋"/>
          <w:sz w:val="32"/>
          <w:szCs w:val="32"/>
          <w:lang w:eastAsia="zh-CN"/>
        </w:rPr>
        <w:t>县</w:t>
      </w:r>
      <w:r>
        <w:rPr>
          <w:rFonts w:hint="eastAsia" w:ascii="仿宋" w:hAnsi="仿宋" w:eastAsia="仿宋" w:cs="仿宋"/>
          <w:sz w:val="32"/>
          <w:szCs w:val="32"/>
        </w:rPr>
        <w:t>行政执法队伍轮训，提高执法队伍能力水平。发挥行政执法协调监督职能作用</w:t>
      </w:r>
      <w:r>
        <w:rPr>
          <w:rFonts w:hint="eastAsia" w:ascii="仿宋" w:hAnsi="仿宋" w:eastAsia="仿宋" w:cs="仿宋"/>
          <w:sz w:val="32"/>
          <w:szCs w:val="32"/>
          <w:lang w:eastAsia="zh-CN"/>
        </w:rPr>
        <w:t>，全力完成</w:t>
      </w:r>
      <w:r>
        <w:rPr>
          <w:rFonts w:hint="eastAsia" w:ascii="仿宋" w:hAnsi="仿宋" w:eastAsia="仿宋" w:cs="仿宋"/>
          <w:sz w:val="32"/>
          <w:szCs w:val="32"/>
        </w:rPr>
        <w:t>规范涉企执法专项行动相关任务，</w:t>
      </w:r>
      <w:r>
        <w:rPr>
          <w:rFonts w:hint="eastAsia" w:ascii="仿宋" w:hAnsi="仿宋" w:eastAsia="仿宋" w:cs="仿宋"/>
          <w:sz w:val="32"/>
          <w:szCs w:val="32"/>
          <w:lang w:eastAsia="zh-CN"/>
        </w:rPr>
        <w:t>试行</w:t>
      </w:r>
      <w:r>
        <w:rPr>
          <w:rFonts w:hint="eastAsia" w:ascii="仿宋" w:hAnsi="仿宋" w:eastAsia="仿宋" w:cs="仿宋"/>
          <w:sz w:val="32"/>
          <w:szCs w:val="32"/>
        </w:rPr>
        <w:t>“企业安静期”制度，切实</w:t>
      </w:r>
      <w:r>
        <w:rPr>
          <w:rFonts w:hint="eastAsia" w:ascii="仿宋" w:hAnsi="仿宋" w:eastAsia="仿宋" w:cs="仿宋"/>
          <w:sz w:val="32"/>
          <w:szCs w:val="32"/>
          <w:lang w:eastAsia="zh-CN"/>
        </w:rPr>
        <w:t>减轻</w:t>
      </w:r>
      <w:r>
        <w:rPr>
          <w:rFonts w:hint="eastAsia" w:ascii="仿宋" w:hAnsi="仿宋" w:eastAsia="仿宋" w:cs="仿宋"/>
          <w:sz w:val="32"/>
          <w:szCs w:val="32"/>
        </w:rPr>
        <w:t>企业负担。</w:t>
      </w:r>
      <w:r>
        <w:rPr>
          <w:rFonts w:hint="eastAsia" w:ascii="仿宋" w:hAnsi="仿宋" w:eastAsia="仿宋" w:cs="仿宋"/>
          <w:sz w:val="32"/>
          <w:szCs w:val="32"/>
          <w:lang w:eastAsia="zh-CN"/>
        </w:rPr>
        <w:t>继续深入开展“</w:t>
      </w:r>
      <w:r>
        <w:rPr>
          <w:rFonts w:hint="eastAsia" w:ascii="仿宋" w:hAnsi="仿宋" w:eastAsia="仿宋" w:cs="仿宋"/>
          <w:sz w:val="32"/>
          <w:szCs w:val="32"/>
        </w:rPr>
        <w:t>违规异地执法、趋利性执法和乱收费、乱罚款、乱检查、乱查封</w:t>
      </w:r>
      <w:r>
        <w:rPr>
          <w:rFonts w:hint="eastAsia" w:ascii="仿宋" w:hAnsi="仿宋" w:eastAsia="仿宋" w:cs="仿宋"/>
          <w:sz w:val="32"/>
          <w:szCs w:val="32"/>
          <w:lang w:eastAsia="zh-CN"/>
        </w:rPr>
        <w:t>”</w:t>
      </w:r>
      <w:r>
        <w:rPr>
          <w:rFonts w:hint="eastAsia" w:ascii="仿宋" w:hAnsi="仿宋" w:eastAsia="仿宋" w:cs="仿宋"/>
          <w:sz w:val="32"/>
          <w:szCs w:val="32"/>
        </w:rPr>
        <w:t>等问题</w:t>
      </w:r>
      <w:r>
        <w:rPr>
          <w:rFonts w:hint="eastAsia" w:ascii="仿宋" w:hAnsi="仿宋" w:eastAsia="仿宋" w:cs="仿宋"/>
          <w:sz w:val="32"/>
          <w:szCs w:val="32"/>
          <w:lang w:eastAsia="zh-CN"/>
        </w:rPr>
        <w:t>专项整治工作</w:t>
      </w:r>
      <w:r>
        <w:rPr>
          <w:rFonts w:hint="eastAsia" w:ascii="仿宋" w:hAnsi="仿宋" w:eastAsia="仿宋" w:cs="仿宋"/>
          <w:sz w:val="32"/>
          <w:szCs w:val="32"/>
        </w:rPr>
        <w:t>，</w:t>
      </w:r>
      <w:r>
        <w:rPr>
          <w:rFonts w:hint="eastAsia" w:ascii="仿宋" w:hAnsi="仿宋" w:eastAsia="仿宋" w:cs="仿宋"/>
          <w:sz w:val="32"/>
          <w:szCs w:val="32"/>
          <w:lang w:eastAsia="zh-CN"/>
        </w:rPr>
        <w:t>全面提升行政执法质效</w:t>
      </w:r>
      <w:r>
        <w:rPr>
          <w:rFonts w:hint="eastAsia" w:ascii="仿宋" w:hAnsi="仿宋" w:eastAsia="仿宋" w:cs="仿宋"/>
          <w:color w:val="auto"/>
          <w:spacing w:val="0"/>
          <w:position w:val="0"/>
          <w:sz w:val="32"/>
          <w:shd w:val="clear" w:fill="auto"/>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3" w:firstLineChars="200"/>
        <w:jc w:val="left"/>
        <w:textAlignment w:val="auto"/>
        <w:rPr>
          <w:rFonts w:hint="eastAsia" w:ascii="仿宋" w:hAnsi="仿宋" w:eastAsia="仿宋" w:cs="仿宋"/>
          <w:color w:val="auto"/>
          <w:spacing w:val="0"/>
          <w:position w:val="0"/>
          <w:sz w:val="32"/>
          <w:shd w:val="clear" w:fill="auto"/>
          <w:lang w:val="en-US" w:eastAsia="zh-CN"/>
        </w:rPr>
      </w:pPr>
      <w:r>
        <w:rPr>
          <w:rFonts w:hint="eastAsia" w:ascii="楷体" w:hAnsi="楷体" w:eastAsia="楷体" w:cs="楷体"/>
          <w:b/>
          <w:bCs/>
          <w:kern w:val="2"/>
          <w:sz w:val="32"/>
          <w:szCs w:val="32"/>
          <w:lang w:val="en-US" w:eastAsia="zh-CN" w:bidi="ar-SA"/>
        </w:rPr>
        <w:t>（三）加强基层司法所建设。</w:t>
      </w:r>
      <w:r>
        <w:rPr>
          <w:rFonts w:hint="eastAsia" w:ascii="仿宋" w:hAnsi="仿宋" w:eastAsia="仿宋" w:cs="仿宋"/>
          <w:color w:val="auto"/>
          <w:spacing w:val="0"/>
          <w:position w:val="0"/>
          <w:sz w:val="32"/>
          <w:shd w:val="clear" w:fill="auto"/>
          <w:lang w:val="en-US" w:eastAsia="zh-CN"/>
        </w:rPr>
        <w:t>认真落实长治市司法局《关于加强新时代司法所建设开展“一县一所一标杆”提质增效三年行动工作方案（2025-2027年）》文件要求，积极争取县委、县政府支持，深入各司法所实地调研，从办公业务用房、规范化建设、基层队伍建设、所务管理等方面补齐短板，以不断完善基层基础建设推动全县司法行政工作再上台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left"/>
        <w:textAlignment w:val="auto"/>
        <w:rPr>
          <w:rFonts w:hint="eastAsia" w:ascii="仿宋" w:hAnsi="仿宋" w:eastAsia="仿宋" w:cs="仿宋"/>
          <w:color w:val="auto"/>
          <w:spacing w:val="0"/>
          <w:position w:val="0"/>
          <w:sz w:val="32"/>
          <w:shd w:val="clear" w:fill="auto"/>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 w:hAnsi="仿宋" w:eastAsia="仿宋" w:cs="仿宋"/>
          <w:b w:val="0"/>
          <w:bCs w:val="0"/>
          <w:color w:val="000000"/>
          <w:kern w:val="2"/>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 w:hAnsi="仿宋" w:eastAsia="仿宋" w:cs="仿宋"/>
          <w:b w:val="0"/>
          <w:bCs w:val="0"/>
          <w:color w:val="000000"/>
          <w:kern w:val="2"/>
          <w:sz w:val="32"/>
          <w:szCs w:val="32"/>
          <w:lang w:val="en-US" w:eastAsia="zh-CN"/>
        </w:rPr>
      </w:pPr>
      <w:r>
        <w:rPr>
          <w:rFonts w:hint="eastAsia" w:ascii="仿宋" w:hAnsi="仿宋" w:eastAsia="仿宋" w:cs="仿宋"/>
          <w:b w:val="0"/>
          <w:bCs w:val="0"/>
          <w:color w:val="000000"/>
          <w:kern w:val="2"/>
          <w:sz w:val="32"/>
          <w:szCs w:val="32"/>
          <w:lang w:val="en-US" w:eastAsia="zh-CN"/>
        </w:rPr>
        <w:t xml:space="preserve">                           襄垣县司法局</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color w:val="000000"/>
          <w:kern w:val="2"/>
          <w:sz w:val="32"/>
          <w:szCs w:val="32"/>
          <w:lang w:val="en-US" w:eastAsia="zh-CN"/>
        </w:rPr>
        <w:t xml:space="preserve">                          2025年6月24日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left"/>
        <w:textAlignment w:val="auto"/>
        <w:rPr>
          <w:rFonts w:hint="eastAsia" w:ascii="仿宋" w:hAnsi="仿宋" w:eastAsia="仿宋" w:cs="仿宋"/>
          <w:color w:val="auto"/>
          <w:spacing w:val="0"/>
          <w:position w:val="0"/>
          <w:sz w:val="32"/>
          <w:shd w:val="clear" w:fill="auto"/>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仿宋" w:hAnsi="仿宋" w:eastAsia="仿宋" w:cs="仿宋"/>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E76BA3-95D3-4D5B-9C6B-998338A480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0731D31-809B-4C7F-B405-1FC8884E3B5A}"/>
  </w:font>
  <w:font w:name="方正公文小标宋">
    <w:panose1 w:val="02000500000000000000"/>
    <w:charset w:val="86"/>
    <w:family w:val="auto"/>
    <w:pitch w:val="default"/>
    <w:sig w:usb0="A00002BF" w:usb1="38CF7CFA" w:usb2="00000016" w:usb3="00000000" w:csb0="00040001" w:csb1="00000000"/>
    <w:embedRegular r:id="rId3" w:fontKey="{4B5FE767-FC3C-4F9D-869D-844C5AF8B9AE}"/>
  </w:font>
  <w:font w:name="仿宋">
    <w:panose1 w:val="02010609060101010101"/>
    <w:charset w:val="86"/>
    <w:family w:val="auto"/>
    <w:pitch w:val="default"/>
    <w:sig w:usb0="800002BF" w:usb1="38CF7CFA" w:usb2="00000016" w:usb3="00000000" w:csb0="00040001" w:csb1="00000000"/>
    <w:embedRegular r:id="rId4" w:fontKey="{2BEBB087-716E-4E0B-9FC7-DC1D31F8AFE4}"/>
  </w:font>
  <w:font w:name="楷体">
    <w:panose1 w:val="02010609060101010101"/>
    <w:charset w:val="86"/>
    <w:family w:val="auto"/>
    <w:pitch w:val="default"/>
    <w:sig w:usb0="800002BF" w:usb1="38CF7CFA" w:usb2="00000016" w:usb3="00000000" w:csb0="00040001" w:csb1="00000000"/>
    <w:embedRegular r:id="rId5" w:fontKey="{93E9D9EA-9AE8-4F62-BE33-BFEFC4DBB253}"/>
  </w:font>
  <w:font w:name="仿宋_GB2312">
    <w:altName w:val="仿宋"/>
    <w:panose1 w:val="02010609030101010101"/>
    <w:charset w:val="86"/>
    <w:family w:val="auto"/>
    <w:pitch w:val="default"/>
    <w:sig w:usb0="00000000" w:usb1="00000000" w:usb2="00000000" w:usb3="00000000" w:csb0="00040000" w:csb1="00000000"/>
    <w:embedRegular r:id="rId6" w:fontKey="{A5BFAB80-9BD3-40B9-A8D7-EB3BF0267C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F37B"/>
    <w:multiLevelType w:val="singleLevel"/>
    <w:tmpl w:val="C5AAF37B"/>
    <w:lvl w:ilvl="0" w:tentative="0">
      <w:start w:val="1"/>
      <w:numFmt w:val="chineseCounting"/>
      <w:suff w:val="nothing"/>
      <w:lvlText w:val="%1、"/>
      <w:lvlJc w:val="left"/>
      <w:rPr>
        <w:rFonts w:hint="eastAsia"/>
      </w:rPr>
    </w:lvl>
  </w:abstractNum>
  <w:abstractNum w:abstractNumId="1">
    <w:nsid w:val="CF36029E"/>
    <w:multiLevelType w:val="singleLevel"/>
    <w:tmpl w:val="CF36029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MTNiYWQyYzM1ZGJkZjdhMGRhODQxMzEzZDgzZmYifQ=="/>
  </w:docVars>
  <w:rsids>
    <w:rsidRoot w:val="00000000"/>
    <w:rsid w:val="00013654"/>
    <w:rsid w:val="005C0153"/>
    <w:rsid w:val="0089189B"/>
    <w:rsid w:val="009A5857"/>
    <w:rsid w:val="00D20B4D"/>
    <w:rsid w:val="01203F93"/>
    <w:rsid w:val="0160084E"/>
    <w:rsid w:val="016A5229"/>
    <w:rsid w:val="01A93FA3"/>
    <w:rsid w:val="020B07BA"/>
    <w:rsid w:val="02230245"/>
    <w:rsid w:val="022573A2"/>
    <w:rsid w:val="026E0D49"/>
    <w:rsid w:val="0297204E"/>
    <w:rsid w:val="02CF6DC1"/>
    <w:rsid w:val="031A67DB"/>
    <w:rsid w:val="032D390E"/>
    <w:rsid w:val="03D446F6"/>
    <w:rsid w:val="04686749"/>
    <w:rsid w:val="04D212D5"/>
    <w:rsid w:val="052D28D3"/>
    <w:rsid w:val="053E0EA6"/>
    <w:rsid w:val="058D598A"/>
    <w:rsid w:val="05D67331"/>
    <w:rsid w:val="05EC6B48"/>
    <w:rsid w:val="060E35DA"/>
    <w:rsid w:val="06506057"/>
    <w:rsid w:val="065C7C05"/>
    <w:rsid w:val="065E2E82"/>
    <w:rsid w:val="06AE3E0A"/>
    <w:rsid w:val="06E86ABF"/>
    <w:rsid w:val="07017849"/>
    <w:rsid w:val="07155C37"/>
    <w:rsid w:val="0717375D"/>
    <w:rsid w:val="072B7208"/>
    <w:rsid w:val="0733247B"/>
    <w:rsid w:val="07BE1E2B"/>
    <w:rsid w:val="07ED0962"/>
    <w:rsid w:val="083D5445"/>
    <w:rsid w:val="085A16EC"/>
    <w:rsid w:val="08B5322E"/>
    <w:rsid w:val="09D73678"/>
    <w:rsid w:val="0A0C6B00"/>
    <w:rsid w:val="0A1246B0"/>
    <w:rsid w:val="0A232419"/>
    <w:rsid w:val="0A456833"/>
    <w:rsid w:val="0A854E82"/>
    <w:rsid w:val="0ABE2142"/>
    <w:rsid w:val="0ABF0394"/>
    <w:rsid w:val="0AE75B3C"/>
    <w:rsid w:val="0B2B01B0"/>
    <w:rsid w:val="0B963927"/>
    <w:rsid w:val="0C6B22BE"/>
    <w:rsid w:val="0CBB2DDD"/>
    <w:rsid w:val="0CD12600"/>
    <w:rsid w:val="0CFA1B57"/>
    <w:rsid w:val="0D865199"/>
    <w:rsid w:val="0DC363ED"/>
    <w:rsid w:val="0DE46363"/>
    <w:rsid w:val="0E373BA8"/>
    <w:rsid w:val="0E6574A4"/>
    <w:rsid w:val="0EB14497"/>
    <w:rsid w:val="0F152C78"/>
    <w:rsid w:val="0F4672D5"/>
    <w:rsid w:val="10044A9B"/>
    <w:rsid w:val="10305890"/>
    <w:rsid w:val="10412D0D"/>
    <w:rsid w:val="10B77D6D"/>
    <w:rsid w:val="10D91A83"/>
    <w:rsid w:val="116F23E8"/>
    <w:rsid w:val="11717F0E"/>
    <w:rsid w:val="119105B0"/>
    <w:rsid w:val="11BA3CB1"/>
    <w:rsid w:val="127E28E2"/>
    <w:rsid w:val="129817BB"/>
    <w:rsid w:val="12F708E7"/>
    <w:rsid w:val="13023513"/>
    <w:rsid w:val="13207E3D"/>
    <w:rsid w:val="137D54C4"/>
    <w:rsid w:val="13985C26"/>
    <w:rsid w:val="13B011C1"/>
    <w:rsid w:val="145F6743"/>
    <w:rsid w:val="146401FE"/>
    <w:rsid w:val="14B52807"/>
    <w:rsid w:val="14B720DC"/>
    <w:rsid w:val="14D14285"/>
    <w:rsid w:val="15543DCE"/>
    <w:rsid w:val="15914856"/>
    <w:rsid w:val="159352D7"/>
    <w:rsid w:val="15B50E15"/>
    <w:rsid w:val="15CA5E3E"/>
    <w:rsid w:val="15DF25C4"/>
    <w:rsid w:val="162714E3"/>
    <w:rsid w:val="16AD19E8"/>
    <w:rsid w:val="16B54D41"/>
    <w:rsid w:val="16C86822"/>
    <w:rsid w:val="170D6C75"/>
    <w:rsid w:val="176302F9"/>
    <w:rsid w:val="17EC02EE"/>
    <w:rsid w:val="17FB2DCF"/>
    <w:rsid w:val="181A628D"/>
    <w:rsid w:val="181E3EC5"/>
    <w:rsid w:val="182E6B59"/>
    <w:rsid w:val="183B5A01"/>
    <w:rsid w:val="18B51028"/>
    <w:rsid w:val="18DF7E53"/>
    <w:rsid w:val="197FA3A5"/>
    <w:rsid w:val="19BE5CBA"/>
    <w:rsid w:val="19E52459"/>
    <w:rsid w:val="1A0F4347"/>
    <w:rsid w:val="1A197394"/>
    <w:rsid w:val="1A8B64E4"/>
    <w:rsid w:val="1ACD2659"/>
    <w:rsid w:val="1ADF2990"/>
    <w:rsid w:val="1AE23C2A"/>
    <w:rsid w:val="1B6B1E72"/>
    <w:rsid w:val="1BBB0703"/>
    <w:rsid w:val="1C0A168B"/>
    <w:rsid w:val="1C2C33AF"/>
    <w:rsid w:val="1C56042C"/>
    <w:rsid w:val="1C802A3B"/>
    <w:rsid w:val="1C833BC7"/>
    <w:rsid w:val="1C8E7BC6"/>
    <w:rsid w:val="1CF540E9"/>
    <w:rsid w:val="1D926262"/>
    <w:rsid w:val="1D9E652E"/>
    <w:rsid w:val="1E3E386E"/>
    <w:rsid w:val="1E405C93"/>
    <w:rsid w:val="1E58656B"/>
    <w:rsid w:val="1E62755C"/>
    <w:rsid w:val="1E6E5F01"/>
    <w:rsid w:val="1EA41923"/>
    <w:rsid w:val="1EB06519"/>
    <w:rsid w:val="1F2111C5"/>
    <w:rsid w:val="1F2E5690"/>
    <w:rsid w:val="1FCD7186"/>
    <w:rsid w:val="1FD35006"/>
    <w:rsid w:val="1FD77AD6"/>
    <w:rsid w:val="20144886"/>
    <w:rsid w:val="201E74B3"/>
    <w:rsid w:val="20256A93"/>
    <w:rsid w:val="20297421"/>
    <w:rsid w:val="20A51982"/>
    <w:rsid w:val="20FD17BE"/>
    <w:rsid w:val="20FD1BD4"/>
    <w:rsid w:val="215869F4"/>
    <w:rsid w:val="21676534"/>
    <w:rsid w:val="21D4251F"/>
    <w:rsid w:val="21EF7359"/>
    <w:rsid w:val="2221772E"/>
    <w:rsid w:val="22977A3D"/>
    <w:rsid w:val="22B91715"/>
    <w:rsid w:val="22BD6C19"/>
    <w:rsid w:val="22DB754D"/>
    <w:rsid w:val="23906919"/>
    <w:rsid w:val="23A75A11"/>
    <w:rsid w:val="23B56380"/>
    <w:rsid w:val="23C44815"/>
    <w:rsid w:val="23D03454"/>
    <w:rsid w:val="240D7F6A"/>
    <w:rsid w:val="242F7EE0"/>
    <w:rsid w:val="25113A8A"/>
    <w:rsid w:val="25292B82"/>
    <w:rsid w:val="257C0753"/>
    <w:rsid w:val="258204E4"/>
    <w:rsid w:val="25C64874"/>
    <w:rsid w:val="25DF1667"/>
    <w:rsid w:val="26B91CE3"/>
    <w:rsid w:val="26F55BF7"/>
    <w:rsid w:val="2769195B"/>
    <w:rsid w:val="277A3B68"/>
    <w:rsid w:val="279B1B0E"/>
    <w:rsid w:val="27AF1F83"/>
    <w:rsid w:val="2862641C"/>
    <w:rsid w:val="28904CC6"/>
    <w:rsid w:val="28A864B3"/>
    <w:rsid w:val="28D23530"/>
    <w:rsid w:val="292A304B"/>
    <w:rsid w:val="295E6B72"/>
    <w:rsid w:val="29FF3E88"/>
    <w:rsid w:val="2A297CE3"/>
    <w:rsid w:val="2A43616A"/>
    <w:rsid w:val="2A69423A"/>
    <w:rsid w:val="2AC30448"/>
    <w:rsid w:val="2B8C3E6A"/>
    <w:rsid w:val="2BAF5518"/>
    <w:rsid w:val="2BC7343E"/>
    <w:rsid w:val="2C1A1476"/>
    <w:rsid w:val="2C4B7881"/>
    <w:rsid w:val="2C5524AE"/>
    <w:rsid w:val="2CDA29B3"/>
    <w:rsid w:val="2D377575"/>
    <w:rsid w:val="2D39592C"/>
    <w:rsid w:val="2DBA5A8C"/>
    <w:rsid w:val="2DD85145"/>
    <w:rsid w:val="2DFF99D1"/>
    <w:rsid w:val="2E480A0C"/>
    <w:rsid w:val="2E4B1DBB"/>
    <w:rsid w:val="2E5B7B24"/>
    <w:rsid w:val="2E9A5E5D"/>
    <w:rsid w:val="2F0748C0"/>
    <w:rsid w:val="2F2B1DEB"/>
    <w:rsid w:val="2F3740ED"/>
    <w:rsid w:val="2F4A2072"/>
    <w:rsid w:val="2F5C10AC"/>
    <w:rsid w:val="2F875074"/>
    <w:rsid w:val="2FC152CC"/>
    <w:rsid w:val="2FC736C3"/>
    <w:rsid w:val="30183F1E"/>
    <w:rsid w:val="316B2774"/>
    <w:rsid w:val="31B52A64"/>
    <w:rsid w:val="31C44134"/>
    <w:rsid w:val="31CF2D03"/>
    <w:rsid w:val="31FB6704"/>
    <w:rsid w:val="32C443FA"/>
    <w:rsid w:val="33461174"/>
    <w:rsid w:val="336779CB"/>
    <w:rsid w:val="337D69FA"/>
    <w:rsid w:val="337E678E"/>
    <w:rsid w:val="33BED494"/>
    <w:rsid w:val="33E22FCC"/>
    <w:rsid w:val="340824FC"/>
    <w:rsid w:val="34452E08"/>
    <w:rsid w:val="34B62C2E"/>
    <w:rsid w:val="34C6BC09"/>
    <w:rsid w:val="352944D8"/>
    <w:rsid w:val="354457B6"/>
    <w:rsid w:val="35956D98"/>
    <w:rsid w:val="35D408E8"/>
    <w:rsid w:val="35EB79DF"/>
    <w:rsid w:val="36546F3F"/>
    <w:rsid w:val="365E28A7"/>
    <w:rsid w:val="36897924"/>
    <w:rsid w:val="36B97711"/>
    <w:rsid w:val="37641351"/>
    <w:rsid w:val="37B26A07"/>
    <w:rsid w:val="37FF8BAA"/>
    <w:rsid w:val="380D6333"/>
    <w:rsid w:val="38591578"/>
    <w:rsid w:val="38A327F3"/>
    <w:rsid w:val="38B8629F"/>
    <w:rsid w:val="39A71E6F"/>
    <w:rsid w:val="39DE7F87"/>
    <w:rsid w:val="3A5D27C7"/>
    <w:rsid w:val="3B1874C8"/>
    <w:rsid w:val="3B9052B1"/>
    <w:rsid w:val="3BACFD76"/>
    <w:rsid w:val="3D4225DB"/>
    <w:rsid w:val="3D7B3CEE"/>
    <w:rsid w:val="3D9D1F07"/>
    <w:rsid w:val="3DA037A5"/>
    <w:rsid w:val="3DB101B2"/>
    <w:rsid w:val="3DC6320C"/>
    <w:rsid w:val="3DFF227A"/>
    <w:rsid w:val="3E3A7756"/>
    <w:rsid w:val="3E4A66E2"/>
    <w:rsid w:val="3E500D27"/>
    <w:rsid w:val="3EE85404"/>
    <w:rsid w:val="3F06588A"/>
    <w:rsid w:val="3F6A406B"/>
    <w:rsid w:val="3F6E1B2C"/>
    <w:rsid w:val="3FA96941"/>
    <w:rsid w:val="3FAF1D97"/>
    <w:rsid w:val="40124E35"/>
    <w:rsid w:val="40B864DA"/>
    <w:rsid w:val="4101455B"/>
    <w:rsid w:val="415E375B"/>
    <w:rsid w:val="419378A9"/>
    <w:rsid w:val="41C55588"/>
    <w:rsid w:val="41D35EF7"/>
    <w:rsid w:val="41F67E38"/>
    <w:rsid w:val="4255098A"/>
    <w:rsid w:val="42EB7271"/>
    <w:rsid w:val="431A1904"/>
    <w:rsid w:val="43C7383A"/>
    <w:rsid w:val="43FB97E5"/>
    <w:rsid w:val="442962A2"/>
    <w:rsid w:val="44324DC8"/>
    <w:rsid w:val="445C6678"/>
    <w:rsid w:val="44703ED1"/>
    <w:rsid w:val="447F2366"/>
    <w:rsid w:val="449A0F4E"/>
    <w:rsid w:val="44BC2C73"/>
    <w:rsid w:val="454424FD"/>
    <w:rsid w:val="454809AA"/>
    <w:rsid w:val="4568104C"/>
    <w:rsid w:val="460C2934"/>
    <w:rsid w:val="460C630C"/>
    <w:rsid w:val="46256F3D"/>
    <w:rsid w:val="471D19C3"/>
    <w:rsid w:val="474A1948"/>
    <w:rsid w:val="47DE73A4"/>
    <w:rsid w:val="480212E4"/>
    <w:rsid w:val="48527118"/>
    <w:rsid w:val="48670993"/>
    <w:rsid w:val="49492F43"/>
    <w:rsid w:val="49690EEF"/>
    <w:rsid w:val="497C50C6"/>
    <w:rsid w:val="49B900C8"/>
    <w:rsid w:val="49C36851"/>
    <w:rsid w:val="4AA541A9"/>
    <w:rsid w:val="4AA55136"/>
    <w:rsid w:val="4ADF590D"/>
    <w:rsid w:val="4AFD3FE5"/>
    <w:rsid w:val="4B5C6F5D"/>
    <w:rsid w:val="4B7A5635"/>
    <w:rsid w:val="4B865BE0"/>
    <w:rsid w:val="4CEF55F8"/>
    <w:rsid w:val="4D1F5196"/>
    <w:rsid w:val="4DCA0138"/>
    <w:rsid w:val="4DCD7C5F"/>
    <w:rsid w:val="4E013DEC"/>
    <w:rsid w:val="4E4573FA"/>
    <w:rsid w:val="4EA74993"/>
    <w:rsid w:val="4ED11A10"/>
    <w:rsid w:val="4EEA2AD2"/>
    <w:rsid w:val="4F2F6737"/>
    <w:rsid w:val="4F336227"/>
    <w:rsid w:val="4F7F146C"/>
    <w:rsid w:val="4FDD43E5"/>
    <w:rsid w:val="4FF0236A"/>
    <w:rsid w:val="4FFA4F97"/>
    <w:rsid w:val="50151DD1"/>
    <w:rsid w:val="506B379F"/>
    <w:rsid w:val="51173AE3"/>
    <w:rsid w:val="51750D79"/>
    <w:rsid w:val="51782617"/>
    <w:rsid w:val="517952B0"/>
    <w:rsid w:val="51BA49DE"/>
    <w:rsid w:val="51F07C3E"/>
    <w:rsid w:val="521D2D1C"/>
    <w:rsid w:val="5264588E"/>
    <w:rsid w:val="527E3C5D"/>
    <w:rsid w:val="537FBEC8"/>
    <w:rsid w:val="53A2397B"/>
    <w:rsid w:val="53A5521A"/>
    <w:rsid w:val="53AE40CE"/>
    <w:rsid w:val="53DF8087"/>
    <w:rsid w:val="54363862"/>
    <w:rsid w:val="54413194"/>
    <w:rsid w:val="5449029B"/>
    <w:rsid w:val="545F58BD"/>
    <w:rsid w:val="5486504B"/>
    <w:rsid w:val="555B0286"/>
    <w:rsid w:val="55E62245"/>
    <w:rsid w:val="56091A90"/>
    <w:rsid w:val="56AE556C"/>
    <w:rsid w:val="56CA56C3"/>
    <w:rsid w:val="56D26326"/>
    <w:rsid w:val="56D71D17"/>
    <w:rsid w:val="56DF953D"/>
    <w:rsid w:val="571050A0"/>
    <w:rsid w:val="57544F8D"/>
    <w:rsid w:val="57954CAF"/>
    <w:rsid w:val="581B3EBF"/>
    <w:rsid w:val="583B02A1"/>
    <w:rsid w:val="586456A3"/>
    <w:rsid w:val="588C69A8"/>
    <w:rsid w:val="58C12AF6"/>
    <w:rsid w:val="59DD570D"/>
    <w:rsid w:val="59FA12D5"/>
    <w:rsid w:val="5A5A1C41"/>
    <w:rsid w:val="5A67147B"/>
    <w:rsid w:val="5A99987F"/>
    <w:rsid w:val="5AD22D98"/>
    <w:rsid w:val="5B0D2022"/>
    <w:rsid w:val="5B42323E"/>
    <w:rsid w:val="5B4F43E9"/>
    <w:rsid w:val="5BAF54D2"/>
    <w:rsid w:val="5BBE156E"/>
    <w:rsid w:val="5BDF6B20"/>
    <w:rsid w:val="5C186842"/>
    <w:rsid w:val="5CBD196C"/>
    <w:rsid w:val="5CCE3A33"/>
    <w:rsid w:val="5D543F38"/>
    <w:rsid w:val="5D6F1F84"/>
    <w:rsid w:val="5D810AA5"/>
    <w:rsid w:val="5D881E34"/>
    <w:rsid w:val="5D924A61"/>
    <w:rsid w:val="5DA65D3F"/>
    <w:rsid w:val="5DBC1ADE"/>
    <w:rsid w:val="5DC50C21"/>
    <w:rsid w:val="5DE74DAC"/>
    <w:rsid w:val="5EE70DDC"/>
    <w:rsid w:val="5F2E2567"/>
    <w:rsid w:val="5F73B8EC"/>
    <w:rsid w:val="5F9FE490"/>
    <w:rsid w:val="5FCC3422"/>
    <w:rsid w:val="5FD375A7"/>
    <w:rsid w:val="5FDF9F7C"/>
    <w:rsid w:val="5FFF2A46"/>
    <w:rsid w:val="600265BA"/>
    <w:rsid w:val="602E7998"/>
    <w:rsid w:val="606F4BE5"/>
    <w:rsid w:val="60B371C8"/>
    <w:rsid w:val="61050B14"/>
    <w:rsid w:val="61B96A60"/>
    <w:rsid w:val="623B7475"/>
    <w:rsid w:val="62791D4B"/>
    <w:rsid w:val="62B218B0"/>
    <w:rsid w:val="62CB6291"/>
    <w:rsid w:val="62FA7330"/>
    <w:rsid w:val="62FC139D"/>
    <w:rsid w:val="63554566"/>
    <w:rsid w:val="639F1C85"/>
    <w:rsid w:val="63F666E1"/>
    <w:rsid w:val="6421269A"/>
    <w:rsid w:val="64383391"/>
    <w:rsid w:val="64C96DD9"/>
    <w:rsid w:val="652F0DE7"/>
    <w:rsid w:val="65363F24"/>
    <w:rsid w:val="656E5DB3"/>
    <w:rsid w:val="65931376"/>
    <w:rsid w:val="65B0017A"/>
    <w:rsid w:val="65BF59C6"/>
    <w:rsid w:val="663A3EE7"/>
    <w:rsid w:val="66865081"/>
    <w:rsid w:val="67B33E7A"/>
    <w:rsid w:val="67B54D26"/>
    <w:rsid w:val="67E265E5"/>
    <w:rsid w:val="6852376A"/>
    <w:rsid w:val="68C77CB4"/>
    <w:rsid w:val="69164798"/>
    <w:rsid w:val="695B664F"/>
    <w:rsid w:val="69623539"/>
    <w:rsid w:val="698A6F34"/>
    <w:rsid w:val="6A773BC2"/>
    <w:rsid w:val="6A9C0CCD"/>
    <w:rsid w:val="6AD246EE"/>
    <w:rsid w:val="6B030D4C"/>
    <w:rsid w:val="6B2D401B"/>
    <w:rsid w:val="6B66CB2F"/>
    <w:rsid w:val="6B9F7ED9"/>
    <w:rsid w:val="6CA67BE1"/>
    <w:rsid w:val="6D1461FB"/>
    <w:rsid w:val="6D1919FD"/>
    <w:rsid w:val="6D763A57"/>
    <w:rsid w:val="6D7F14F3"/>
    <w:rsid w:val="6DA560EA"/>
    <w:rsid w:val="6DA700B4"/>
    <w:rsid w:val="6DDD3AD6"/>
    <w:rsid w:val="6DFD1A82"/>
    <w:rsid w:val="6DFEC5C5"/>
    <w:rsid w:val="6E1C7D7D"/>
    <w:rsid w:val="6EB8009F"/>
    <w:rsid w:val="6EFE1F56"/>
    <w:rsid w:val="6F573414"/>
    <w:rsid w:val="6F7B6856"/>
    <w:rsid w:val="6FCFDF3F"/>
    <w:rsid w:val="70057314"/>
    <w:rsid w:val="70380680"/>
    <w:rsid w:val="7040034C"/>
    <w:rsid w:val="70510105"/>
    <w:rsid w:val="70575BBD"/>
    <w:rsid w:val="705F4C76"/>
    <w:rsid w:val="70CA26E5"/>
    <w:rsid w:val="70D311C0"/>
    <w:rsid w:val="70DA42FD"/>
    <w:rsid w:val="70FB0C86"/>
    <w:rsid w:val="7101188A"/>
    <w:rsid w:val="71704C61"/>
    <w:rsid w:val="71902C0D"/>
    <w:rsid w:val="71E13469"/>
    <w:rsid w:val="71E557A3"/>
    <w:rsid w:val="721966EE"/>
    <w:rsid w:val="72404633"/>
    <w:rsid w:val="725B76BF"/>
    <w:rsid w:val="72693B8A"/>
    <w:rsid w:val="729D1A86"/>
    <w:rsid w:val="72C963D7"/>
    <w:rsid w:val="72DF5BFA"/>
    <w:rsid w:val="72F35B4A"/>
    <w:rsid w:val="72F71196"/>
    <w:rsid w:val="732E26DE"/>
    <w:rsid w:val="73560528"/>
    <w:rsid w:val="73DF0A51"/>
    <w:rsid w:val="7406638B"/>
    <w:rsid w:val="743B1556"/>
    <w:rsid w:val="74542618"/>
    <w:rsid w:val="74A013B9"/>
    <w:rsid w:val="74C01A5C"/>
    <w:rsid w:val="74D909D5"/>
    <w:rsid w:val="7516167C"/>
    <w:rsid w:val="75175B20"/>
    <w:rsid w:val="753E2876"/>
    <w:rsid w:val="75932CCC"/>
    <w:rsid w:val="75BF3AC1"/>
    <w:rsid w:val="75F95F98"/>
    <w:rsid w:val="76051600"/>
    <w:rsid w:val="76124721"/>
    <w:rsid w:val="762D1373"/>
    <w:rsid w:val="76D4359C"/>
    <w:rsid w:val="7711FD6D"/>
    <w:rsid w:val="77732DB5"/>
    <w:rsid w:val="77B6A101"/>
    <w:rsid w:val="77D777E8"/>
    <w:rsid w:val="77DBF94C"/>
    <w:rsid w:val="77E062F3"/>
    <w:rsid w:val="78615304"/>
    <w:rsid w:val="78623556"/>
    <w:rsid w:val="788F1E71"/>
    <w:rsid w:val="789C4D94"/>
    <w:rsid w:val="790C40FB"/>
    <w:rsid w:val="79652BD2"/>
    <w:rsid w:val="79D12015"/>
    <w:rsid w:val="79ED50A1"/>
    <w:rsid w:val="79EE0E19"/>
    <w:rsid w:val="7A227121"/>
    <w:rsid w:val="7A320D06"/>
    <w:rsid w:val="7A57C452"/>
    <w:rsid w:val="7A6D78A0"/>
    <w:rsid w:val="7A7E4BEC"/>
    <w:rsid w:val="7ADC47C3"/>
    <w:rsid w:val="7B4C5DF7"/>
    <w:rsid w:val="7B647BB9"/>
    <w:rsid w:val="7B784E3E"/>
    <w:rsid w:val="7B7F61CD"/>
    <w:rsid w:val="7BAFC14D"/>
    <w:rsid w:val="7BDF7FC5"/>
    <w:rsid w:val="7BEC1388"/>
    <w:rsid w:val="7BFF716F"/>
    <w:rsid w:val="7C2154D6"/>
    <w:rsid w:val="7C4F6CF6"/>
    <w:rsid w:val="7C572CA5"/>
    <w:rsid w:val="7C684EB3"/>
    <w:rsid w:val="7C707A13"/>
    <w:rsid w:val="7CC14B46"/>
    <w:rsid w:val="7CE34539"/>
    <w:rsid w:val="7D0F2F2C"/>
    <w:rsid w:val="7D387CD2"/>
    <w:rsid w:val="7D5B4A17"/>
    <w:rsid w:val="7D772F92"/>
    <w:rsid w:val="7D7E52CF"/>
    <w:rsid w:val="7D8A0E59"/>
    <w:rsid w:val="7DCEA42A"/>
    <w:rsid w:val="7DFE263A"/>
    <w:rsid w:val="7E417769"/>
    <w:rsid w:val="7E88183C"/>
    <w:rsid w:val="7E924249"/>
    <w:rsid w:val="7EB92052"/>
    <w:rsid w:val="7EBE700C"/>
    <w:rsid w:val="7EBF950C"/>
    <w:rsid w:val="7EFB4F6E"/>
    <w:rsid w:val="7EFDD25F"/>
    <w:rsid w:val="7F1E3F4E"/>
    <w:rsid w:val="7F3FEC04"/>
    <w:rsid w:val="7F4D5C86"/>
    <w:rsid w:val="7F4E65E2"/>
    <w:rsid w:val="7F5636E8"/>
    <w:rsid w:val="7F7765A0"/>
    <w:rsid w:val="7FABB76B"/>
    <w:rsid w:val="7FDBC1FF"/>
    <w:rsid w:val="7FF1DD6F"/>
    <w:rsid w:val="7FF9B514"/>
    <w:rsid w:val="7FFC8A5D"/>
    <w:rsid w:val="7FFDB851"/>
    <w:rsid w:val="7FFF0E47"/>
    <w:rsid w:val="8B89D424"/>
    <w:rsid w:val="9DFB8ACC"/>
    <w:rsid w:val="9EDFE5CD"/>
    <w:rsid w:val="ADF57C9E"/>
    <w:rsid w:val="B66F5493"/>
    <w:rsid w:val="B7EA63A8"/>
    <w:rsid w:val="B7EC36E4"/>
    <w:rsid w:val="BEF99C98"/>
    <w:rsid w:val="BFDE9707"/>
    <w:rsid w:val="BFFEF8D1"/>
    <w:rsid w:val="CA2F77E0"/>
    <w:rsid w:val="CA7FC941"/>
    <w:rsid w:val="CF3E8B2B"/>
    <w:rsid w:val="CF7F04CB"/>
    <w:rsid w:val="CFFFB832"/>
    <w:rsid w:val="D3FD72A1"/>
    <w:rsid w:val="D67D0BCC"/>
    <w:rsid w:val="DA57ABB7"/>
    <w:rsid w:val="DBFF997C"/>
    <w:rsid w:val="DCFEADC2"/>
    <w:rsid w:val="DD7FE533"/>
    <w:rsid w:val="DEFD057B"/>
    <w:rsid w:val="DF7F3120"/>
    <w:rsid w:val="DFCF64D3"/>
    <w:rsid w:val="DFEA8F5B"/>
    <w:rsid w:val="DFF5BC97"/>
    <w:rsid w:val="DFF90B89"/>
    <w:rsid w:val="E63F7D0C"/>
    <w:rsid w:val="E6FBFC89"/>
    <w:rsid w:val="EA3E0783"/>
    <w:rsid w:val="EDCB85AA"/>
    <w:rsid w:val="EDD1DB1B"/>
    <w:rsid w:val="EEFD2554"/>
    <w:rsid w:val="EF0D2723"/>
    <w:rsid w:val="EF199517"/>
    <w:rsid w:val="EFED7869"/>
    <w:rsid w:val="EFF7C8BD"/>
    <w:rsid w:val="EFFB2FE3"/>
    <w:rsid w:val="F07C91BB"/>
    <w:rsid w:val="F47D84B8"/>
    <w:rsid w:val="F72BE442"/>
    <w:rsid w:val="F9EBCC39"/>
    <w:rsid w:val="FAEFB7DF"/>
    <w:rsid w:val="FAFE1FC4"/>
    <w:rsid w:val="FAFFBEB4"/>
    <w:rsid w:val="FCF71442"/>
    <w:rsid w:val="FCFF6E5B"/>
    <w:rsid w:val="FD0950A2"/>
    <w:rsid w:val="FD9962F4"/>
    <w:rsid w:val="FDCBE322"/>
    <w:rsid w:val="FDD77A82"/>
    <w:rsid w:val="FDF75A33"/>
    <w:rsid w:val="FE3F0938"/>
    <w:rsid w:val="FEDFA512"/>
    <w:rsid w:val="FEFDC80D"/>
    <w:rsid w:val="FEFFCDF8"/>
    <w:rsid w:val="FF1F18E9"/>
    <w:rsid w:val="FFD50E9A"/>
    <w:rsid w:val="FFDB6D29"/>
    <w:rsid w:val="FFFFB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4383</Words>
  <Characters>4529</Characters>
  <Lines>0</Lines>
  <Paragraphs>0</Paragraphs>
  <TotalTime>42</TotalTime>
  <ScaleCrop>false</ScaleCrop>
  <LinksUpToDate>false</LinksUpToDate>
  <CharactersWithSpaces>4589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2023-06-20T19:32:00Z</dcterms:created>
  <dc:creator>LENOVO</dc:creator>
  <cp:lastModifiedBy>荣欢</cp:lastModifiedBy>
  <cp:lastPrinted>2025-06-24T01:50:00Z</cp:lastPrinted>
  <dcterms:modified xsi:type="dcterms:W3CDTF">2025-08-05T08:14:20Z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098D76D6F8BF4EC29D55D3966270F187_13</vt:lpwstr>
  </property>
</Properties>
</file>