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val="en-US" w:eastAsia="zh-CN"/>
        </w:rPr>
      </w:pPr>
      <w:bookmarkStart w:id="0" w:name="_GoBack"/>
      <w:bookmarkEnd w:id="0"/>
      <w:r>
        <w:rPr>
          <w:rFonts w:hint="eastAsia" w:ascii="方正小标宋简体" w:hAnsi="方正小标宋简体" w:eastAsia="方正小标宋简体" w:cs="方正小标宋简体"/>
          <w:sz w:val="40"/>
          <w:szCs w:val="40"/>
          <w:lang w:val="en-US" w:eastAsia="zh-CN"/>
        </w:rPr>
        <w:t>行政检查类行政职权和责任事项清单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单位：襄垣</w:t>
      </w:r>
      <w:r>
        <w:rPr>
          <w:rFonts w:hint="eastAsia"/>
          <w:lang w:val="en-US" w:eastAsia="zh-CN"/>
        </w:rPr>
        <w:t>县司法局</w:t>
      </w:r>
    </w:p>
    <w:tbl>
      <w:tblPr>
        <w:tblStyle w:val="6"/>
        <w:tblW w:w="15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6"/>
        <w:gridCol w:w="365"/>
        <w:gridCol w:w="645"/>
        <w:gridCol w:w="728"/>
        <w:gridCol w:w="653"/>
        <w:gridCol w:w="3070"/>
        <w:gridCol w:w="385"/>
        <w:gridCol w:w="845"/>
        <w:gridCol w:w="2295"/>
        <w:gridCol w:w="3131"/>
        <w:gridCol w:w="284"/>
        <w:gridCol w:w="284"/>
        <w:gridCol w:w="284"/>
        <w:gridCol w:w="284"/>
        <w:gridCol w:w="284"/>
        <w:gridCol w:w="284"/>
        <w:gridCol w:w="284"/>
        <w:gridCol w:w="284"/>
        <w:gridCol w:w="284"/>
        <w:gridCol w:w="285"/>
        <w:gridCol w:w="285"/>
        <w:gridCol w:w="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blHeader/>
          <w:jc w:val="center"/>
        </w:trPr>
        <w:tc>
          <w:tcPr>
            <w:tcW w:w="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职权类型</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职权编码</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职权名称</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职权依据</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市地方性法规政府规章规定的行政职权事项</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责任事项</w:t>
            </w:r>
          </w:p>
        </w:tc>
        <w:tc>
          <w:tcPr>
            <w:tcW w:w="3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责任事项依据</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实施对象</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承办机构</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行使情况</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前置条件</w:t>
            </w:r>
          </w:p>
        </w:tc>
        <w:tc>
          <w:tcPr>
            <w:tcW w:w="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职权权限</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综合执法情况</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w w:val="80"/>
                <w:kern w:val="0"/>
                <w:sz w:val="16"/>
                <w:szCs w:val="16"/>
                <w:u w:val="none"/>
                <w:lang w:val="en-US" w:eastAsia="zh-CN" w:bidi="ar"/>
              </w:rPr>
              <w:t>委托其他机构行使情况</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部门间权责边界</w:t>
            </w:r>
          </w:p>
        </w:tc>
        <w:tc>
          <w:tcPr>
            <w:tcW w:w="2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blHeader/>
          <w:jc w:val="center"/>
        </w:trPr>
        <w:tc>
          <w:tcPr>
            <w:tcW w:w="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子项</w:t>
            </w: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事项名称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3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执法权限</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综合执法机构</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受委托机构</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委托权限</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共同行使主体</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权责划分</w:t>
            </w:r>
          </w:p>
        </w:tc>
        <w:tc>
          <w:tcPr>
            <w:tcW w:w="2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jc w:val="center"/>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 政 检 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0800-J-00100-140430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对基层法律服务工作者执业情况的行政检查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【部门规章】《基层法律服务工作者管理办法》（司法部令138号）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【地方法规】《山西省基层法律服务工作者管理办法实施细则》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第二十五条 县级司法行政机关、司法所按照司法部《基层法律服务工作者管理办法》的规定，对辖区内基层法律服务工作者的日常执业活动和遵守职业道德、执业纪律履行指导、监督、检查职责。</w:t>
            </w:r>
          </w:p>
          <w:p>
            <w:pPr>
              <w:pStyle w:val="2"/>
              <w:rPr>
                <w:rFonts w:hint="eastAsia"/>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2"/>
                <w:sz w:val="16"/>
                <w:szCs w:val="16"/>
                <w:lang w:val="en-US" w:eastAsia="zh-CN" w:bidi="ar-SA"/>
              </w:rPr>
              <w:t>1.</w:t>
            </w:r>
            <w:r>
              <w:rPr>
                <w:rFonts w:hint="eastAsia" w:ascii="宋体" w:hAnsi="宋体" w:eastAsia="宋体" w:cs="宋体"/>
                <w:i w:val="0"/>
                <w:iCs w:val="0"/>
                <w:color w:val="000000"/>
                <w:kern w:val="0"/>
                <w:sz w:val="16"/>
                <w:szCs w:val="16"/>
                <w:u w:val="none"/>
                <w:lang w:val="en-US" w:eastAsia="zh-CN" w:bidi="ar"/>
              </w:rPr>
              <w:t xml:space="preserve">检查责任：制定行政检查方案，内容包括检查内容、检查部门、检查时间、检查要求等。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2"/>
                <w:sz w:val="16"/>
                <w:szCs w:val="16"/>
                <w:lang w:val="en-US" w:eastAsia="zh-CN" w:bidi="ar-SA"/>
              </w:rPr>
              <w:t>2.</w:t>
            </w:r>
            <w:r>
              <w:rPr>
                <w:rFonts w:hint="eastAsia" w:ascii="宋体" w:hAnsi="宋体" w:eastAsia="宋体" w:cs="宋体"/>
                <w:i w:val="0"/>
                <w:iCs w:val="0"/>
                <w:color w:val="000000"/>
                <w:kern w:val="0"/>
                <w:sz w:val="16"/>
                <w:szCs w:val="16"/>
                <w:u w:val="none"/>
                <w:lang w:val="en-US" w:eastAsia="zh-CN" w:bidi="ar"/>
              </w:rPr>
              <w:t>.告知责任：告知检查对象陈述、申辩等法定的救济权利和途径，依法配合检查的法定义务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3.检查责任：对行政执检查中发现的问题作出相关的行政决定。                                                                                         </w:t>
            </w:r>
            <w:r>
              <w:rPr>
                <w:rFonts w:hint="eastAsia" w:ascii="宋体" w:hAnsi="宋体" w:eastAsia="宋体" w:cs="宋体"/>
                <w:i w:val="0"/>
                <w:iCs w:val="0"/>
                <w:color w:val="000000"/>
                <w:kern w:val="2"/>
                <w:sz w:val="16"/>
                <w:szCs w:val="16"/>
                <w:lang w:val="en-US" w:eastAsia="zh-CN" w:bidi="ar-SA"/>
              </w:rPr>
              <w:t>4.</w:t>
            </w:r>
            <w:r>
              <w:rPr>
                <w:rFonts w:hint="eastAsia" w:ascii="宋体" w:hAnsi="宋体" w:eastAsia="宋体" w:cs="宋体"/>
                <w:i w:val="0"/>
                <w:iCs w:val="0"/>
                <w:color w:val="000000"/>
                <w:kern w:val="0"/>
                <w:sz w:val="16"/>
                <w:szCs w:val="16"/>
                <w:u w:val="none"/>
                <w:lang w:val="en-US" w:eastAsia="zh-CN" w:bidi="ar"/>
              </w:rPr>
              <w:t>监管责任：监督检查对象应当严格按照决定的内容执行。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5.其他法律法规规章文件规定应履行的责任。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1.《基层法律服务工作者管理办法》（司法部令138号）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《山西省基层法律服务工作者管理办法实施细则》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第二十五条 县级司法行政机关、司法所按照司法部《基层法律服务工作者管理办法》的规定，对辖区内基层法律服务工作者的日常执业活动和遵守职业道德、执业纪律履行指导、监督、检查职责。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2.同1。</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3.同1。</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4.同1。</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基层法律服务工作者</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公共法律服务管理股</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jc w:val="center"/>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 政 检 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0800-J-00200-140430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对基层法律服务所日常执业和内部管理情况的行政检查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3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【部门规章】《基层法律服务所管理办法》（司法部令137号）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【地方规章】《山西省基层法律服务工作者管理办法实施细则》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highlight w:val="none"/>
                <w:u w:val="none"/>
                <w:lang w:val="en-US" w:eastAsia="zh-CN" w:bidi="ar"/>
              </w:rPr>
              <w:t>第二十五条 </w:t>
            </w:r>
            <w:r>
              <w:rPr>
                <w:rFonts w:hint="eastAsia" w:ascii="宋体" w:hAnsi="宋体" w:eastAsia="宋体" w:cs="宋体"/>
                <w:i w:val="0"/>
                <w:iCs w:val="0"/>
                <w:color w:val="000000"/>
                <w:kern w:val="0"/>
                <w:sz w:val="16"/>
                <w:szCs w:val="16"/>
                <w:u w:val="none"/>
                <w:lang w:val="en-US" w:eastAsia="zh-CN" w:bidi="ar"/>
              </w:rPr>
              <w:t>县级司法行政机关、司法所按照司法部《基层法律服务所管理办法》的规定，对辖区内基层法律服务所的日常执业活动和内部管理工作履行指导、监督、检查职责。</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2"/>
                <w:sz w:val="16"/>
                <w:szCs w:val="16"/>
                <w:lang w:val="en-US" w:eastAsia="zh-CN" w:bidi="ar-SA"/>
              </w:rPr>
              <w:t>1.</w:t>
            </w:r>
            <w:r>
              <w:rPr>
                <w:rFonts w:hint="eastAsia" w:ascii="宋体" w:hAnsi="宋体" w:eastAsia="宋体" w:cs="宋体"/>
                <w:i w:val="0"/>
                <w:iCs w:val="0"/>
                <w:color w:val="000000"/>
                <w:kern w:val="0"/>
                <w:sz w:val="16"/>
                <w:szCs w:val="16"/>
                <w:u w:val="none"/>
                <w:lang w:val="en-US" w:eastAsia="zh-CN" w:bidi="ar"/>
              </w:rPr>
              <w:t xml:space="preserve">检查责任：制定行政检查方案，内容包括检查内容、检查部门、检查时间、检查要求等。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2"/>
                <w:sz w:val="16"/>
                <w:szCs w:val="16"/>
                <w:lang w:val="en-US" w:eastAsia="zh-CN" w:bidi="ar-SA"/>
              </w:rPr>
              <w:t>2.</w:t>
            </w:r>
            <w:r>
              <w:rPr>
                <w:rFonts w:hint="eastAsia" w:ascii="宋体" w:hAnsi="宋体" w:eastAsia="宋体" w:cs="宋体"/>
                <w:i w:val="0"/>
                <w:iCs w:val="0"/>
                <w:color w:val="000000"/>
                <w:kern w:val="0"/>
                <w:sz w:val="16"/>
                <w:szCs w:val="16"/>
                <w:u w:val="none"/>
                <w:lang w:val="en-US" w:eastAsia="zh-CN" w:bidi="ar"/>
              </w:rPr>
              <w:t>.告知责任：告知检查对象陈述、申辩等法定的救济权利和途径，依法配合检查的法定义务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3.检查责任：对行政执检查中发现的问题作出相关的行政决定。                                                                                         </w:t>
            </w:r>
            <w:r>
              <w:rPr>
                <w:rFonts w:hint="eastAsia" w:ascii="宋体" w:hAnsi="宋体" w:eastAsia="宋体" w:cs="宋体"/>
                <w:i w:val="0"/>
                <w:iCs w:val="0"/>
                <w:color w:val="000000"/>
                <w:kern w:val="2"/>
                <w:sz w:val="16"/>
                <w:szCs w:val="16"/>
                <w:lang w:val="en-US" w:eastAsia="zh-CN" w:bidi="ar-SA"/>
              </w:rPr>
              <w:t>4.</w:t>
            </w:r>
            <w:r>
              <w:rPr>
                <w:rFonts w:hint="eastAsia" w:ascii="宋体" w:hAnsi="宋体" w:eastAsia="宋体" w:cs="宋体"/>
                <w:i w:val="0"/>
                <w:iCs w:val="0"/>
                <w:color w:val="000000"/>
                <w:kern w:val="0"/>
                <w:sz w:val="16"/>
                <w:szCs w:val="16"/>
                <w:u w:val="none"/>
                <w:lang w:val="en-US" w:eastAsia="zh-CN" w:bidi="ar"/>
              </w:rPr>
              <w:t>监管责任：监督检查对象应当严格按照决定的内容执行。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5.其他法律法规规章文件规定应履行的责任。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p>
        </w:tc>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1.《基层法律服务所管理办法》（司法部令137号）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《山西省基层法律服务工作者管理办法实施细则》</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第二十五条 县级司法行政机关、司法所按照司法部《基层法律服务所管理办法》的规定，对辖区内基层法律服务所的日常执业活动和内部管理工作履行指导、监督、检查职责。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2.同1。</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3.同1。</w:t>
            </w:r>
          </w:p>
          <w:p>
            <w:pPr>
              <w:pStyle w:val="2"/>
              <w:rPr>
                <w:rFonts w:hint="eastAsia"/>
              </w:rPr>
            </w:pPr>
            <w:r>
              <w:rPr>
                <w:rFonts w:hint="eastAsia" w:ascii="宋体" w:hAnsi="宋体" w:eastAsia="宋体" w:cs="宋体"/>
                <w:i w:val="0"/>
                <w:iCs w:val="0"/>
                <w:color w:val="000000"/>
                <w:kern w:val="0"/>
                <w:sz w:val="16"/>
                <w:szCs w:val="16"/>
                <w:u w:val="none"/>
                <w:lang w:val="en-US" w:eastAsia="zh-CN" w:bidi="ar"/>
              </w:rPr>
              <w:t>4.同1。</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基层法律服务所</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公共法律服务管理股</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7" w:hRule="atLeast"/>
          <w:jc w:val="center"/>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 政 检 查</w:t>
            </w:r>
          </w:p>
        </w:tc>
        <w:tc>
          <w:tcPr>
            <w:tcW w:w="64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0800-J-00400-140430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对律师的行政检查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30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【法律】《中华人民共和国律师法》（主席令第64号 ）</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第四条 司法行政部门依照本法对律师、律师事务所和律师协会进行监督、指导。</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【部门规章】《律师执业管理办法》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第五十条　县级司法行政机关对其执业机构在本行政区域的律师的执业活动进行日常监督管理，履行下列职责：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(一)检查、监督律师在执业活动中遵守法律、法规、规章和职业道德、执业纪律的情况；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(二)受理对律师的举报和投诉；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(三)监督律师履行行政处罚和实行整改的情况；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(四)掌握律师事务所对律师执业年度考核的情况；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(五)司法部和省、自治区、直辖市司法行政机关规定的其他职责。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themeColor="text1"/>
                <w:sz w:val="16"/>
                <w:szCs w:val="16"/>
                <w:u w:val="none"/>
                <w14:textFill>
                  <w14:solidFill>
                    <w14:schemeClr w14:val="tx1"/>
                  </w14:solidFill>
                </w14:textFill>
              </w:rPr>
              <w:t>县级司法行政机关在开展日常监督管理过程中，发现、查实律师在执业活动中存在问题的，应当对其进行警示谈话，责令改正，并对其整改情况进行监督；对</w:t>
            </w:r>
            <w:r>
              <w:rPr>
                <w:rFonts w:hint="eastAsia" w:ascii="宋体" w:hAnsi="宋体" w:eastAsia="宋体" w:cs="宋体"/>
                <w:i w:val="0"/>
                <w:iCs w:val="0"/>
                <w:color w:val="000000"/>
                <w:sz w:val="16"/>
                <w:szCs w:val="16"/>
                <w:u w:val="none"/>
              </w:rPr>
              <w:t>律师的违法行为认为依法应当给予行政处罚的，应当向上一级司法行政机关提出处罚建议；认为需要给予行业惩戒的，移送律师协会处理。</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kern w:val="2"/>
                <w:sz w:val="16"/>
                <w:szCs w:val="16"/>
                <w:lang w:val="en-US" w:eastAsia="zh-CN" w:bidi="ar-SA"/>
                <w14:textFill>
                  <w14:solidFill>
                    <w14:schemeClr w14:val="tx1"/>
                  </w14:solidFill>
                </w14:textFill>
              </w:rPr>
              <w:t>1.</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 xml:space="preserve">检查责任：制定行政检查方案，内容包括检查内容、检查部门、检查时间、检查要求等。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kern w:val="2"/>
                <w:sz w:val="16"/>
                <w:szCs w:val="16"/>
                <w:lang w:val="en-US" w:eastAsia="zh-CN" w:bidi="ar-SA"/>
                <w14:textFill>
                  <w14:solidFill>
                    <w14:schemeClr w14:val="tx1"/>
                  </w14:solidFill>
                </w14:textFill>
              </w:rPr>
              <w:t>2.</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.告知责任：告知检查对象陈述、申辩等法定的救济权利和途径，依法配合检查的法定义务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 xml:space="preserve">3.检查责任：对行政执检查中发现的问题作出相关的行政决定。                                                                                         </w:t>
            </w:r>
            <w:r>
              <w:rPr>
                <w:rFonts w:hint="eastAsia" w:ascii="宋体" w:hAnsi="宋体" w:eastAsia="宋体" w:cs="宋体"/>
                <w:i w:val="0"/>
                <w:iCs w:val="0"/>
                <w:color w:val="000000" w:themeColor="text1"/>
                <w:kern w:val="2"/>
                <w:sz w:val="16"/>
                <w:szCs w:val="16"/>
                <w:lang w:val="en-US" w:eastAsia="zh-CN" w:bidi="ar-SA"/>
                <w14:textFill>
                  <w14:solidFill>
                    <w14:schemeClr w14:val="tx1"/>
                  </w14:solidFill>
                </w14:textFill>
              </w:rPr>
              <w:t>4.</w:t>
            </w: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监管责任：监督检查对象应当严格按照决定的内容执行。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5.其他法律法规规章文件规定应履行的责任。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p>
        </w:tc>
        <w:tc>
          <w:tcPr>
            <w:tcW w:w="31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1.【法律】《中华人民共和国律师法》（主席令第64号 ）第四条 司法行政部门依照本法对律师、律师事务所和律师协会进行监督、指导。</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【部门规章】《律师执业管理办法》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第五十条　县级司法行政机关对其执业机构在本行政区域的律师的执业活动进行日常监督管理，履行下列职责：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(一)检查、监督律师在执业活动中遵守法律、法规、规章和职业道德、执业纪律的情况；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(二)受理对律师的举报和投诉；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(三)监督律师履行行政处罚和实行整改的情况；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(四)掌握律师事务所对律师执业年度考核的情况；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(五)司法部和省、自治区、直辖市司法行政机关规定的其他职责。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2.同1。</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3.同1。</w:t>
            </w:r>
          </w:p>
          <w:p>
            <w:pPr>
              <w:pStyle w:val="2"/>
              <w:numPr>
                <w:ilvl w:val="0"/>
                <w:numId w:val="0"/>
              </w:numP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kern w:val="0"/>
                <w:sz w:val="16"/>
                <w:szCs w:val="16"/>
                <w:u w:val="none"/>
                <w:lang w:val="en-US" w:eastAsia="zh-CN" w:bidi="ar"/>
                <w14:textFill>
                  <w14:solidFill>
                    <w14:schemeClr w14:val="tx1"/>
                  </w14:solidFill>
                </w14:textFill>
              </w:rPr>
              <w:t>4.同1。</w:t>
            </w:r>
          </w:p>
        </w:tc>
        <w:tc>
          <w:tcPr>
            <w:tcW w:w="2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律师</w:t>
            </w:r>
          </w:p>
        </w:tc>
        <w:tc>
          <w:tcPr>
            <w:tcW w:w="2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公共法律服务管理股</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0" w:hRule="atLeast"/>
          <w:jc w:val="center"/>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 政 检 查</w:t>
            </w:r>
          </w:p>
        </w:tc>
        <w:tc>
          <w:tcPr>
            <w:tcW w:w="645"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0800-J-00500-140430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对律师事务所（分所）的行政检查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30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【法律】《中华人民共和国律师法》（2017年修正主席令第76号）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第四条 司法行政部门依照本法对律师、律师事务所和律师协会进行监督、指导。</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【部门规章】《律师事务所管理办法》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第六十四条　县级司法行政机关对本行政区域内的律师事务所的执业活动进行日常监督管理，履行下列职责：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(一)监督律师事务所在开展业务活动过程中遵守法律、法规、规章的情况;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(二)监督律师事务所执业和内部管理制度的建立和实施情况;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(三)监督律师事务所保持法定设立条件以及变更报批或者备案的执行情况;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(四)监督律师事务所进行清算、申请注销的情况;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(五)监督律师事务所开展律师执业年度考核和上报年度执业总结的情况;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(六)受理对律师事务所的举报和投诉;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(七)监督律师事务所履行行政处罚和实行整改的情况;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(八)司法部和省、自治区、直辖市司法行政机关规定的其他职责。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themeColor="text1"/>
                <w:sz w:val="16"/>
                <w:szCs w:val="16"/>
                <w:u w:val="none"/>
                <w14:textFill>
                  <w14:solidFill>
                    <w14:schemeClr w14:val="tx1"/>
                  </w14:solidFill>
                </w14:textFill>
              </w:rPr>
              <w:t>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w:t>
            </w:r>
            <w:r>
              <w:rPr>
                <w:rFonts w:hint="eastAsia" w:ascii="宋体" w:hAnsi="宋体" w:eastAsia="宋体" w:cs="宋体"/>
                <w:i w:val="0"/>
                <w:iCs w:val="0"/>
                <w:color w:val="000000"/>
                <w:sz w:val="16"/>
                <w:szCs w:val="16"/>
                <w:u w:val="none"/>
              </w:rPr>
              <w:t>当给予行政处罚的，应当向上一级司法行政机关提出处罚建议;认为需要给予行业惩戒的，移送律师协会处理。</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2"/>
                <w:sz w:val="16"/>
                <w:szCs w:val="16"/>
                <w:lang w:val="en-US" w:eastAsia="zh-CN" w:bidi="ar-SA"/>
              </w:rPr>
              <w:t>1.</w:t>
            </w:r>
            <w:r>
              <w:rPr>
                <w:rFonts w:hint="eastAsia" w:ascii="宋体" w:hAnsi="宋体" w:eastAsia="宋体" w:cs="宋体"/>
                <w:i w:val="0"/>
                <w:iCs w:val="0"/>
                <w:color w:val="000000"/>
                <w:kern w:val="0"/>
                <w:sz w:val="16"/>
                <w:szCs w:val="16"/>
                <w:u w:val="none"/>
                <w:lang w:val="en-US" w:eastAsia="zh-CN" w:bidi="ar"/>
              </w:rPr>
              <w:t xml:space="preserve">检查责任：制定行政检查方案，内容包括检查内容、检查部门、检查时间、检查要求等。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2"/>
                <w:sz w:val="16"/>
                <w:szCs w:val="16"/>
                <w:lang w:val="en-US" w:eastAsia="zh-CN" w:bidi="ar-SA"/>
              </w:rPr>
              <w:t>2.</w:t>
            </w:r>
            <w:r>
              <w:rPr>
                <w:rFonts w:hint="eastAsia" w:ascii="宋体" w:hAnsi="宋体" w:eastAsia="宋体" w:cs="宋体"/>
                <w:i w:val="0"/>
                <w:iCs w:val="0"/>
                <w:color w:val="000000"/>
                <w:kern w:val="0"/>
                <w:sz w:val="16"/>
                <w:szCs w:val="16"/>
                <w:u w:val="none"/>
                <w:lang w:val="en-US" w:eastAsia="zh-CN" w:bidi="ar"/>
              </w:rPr>
              <w:t>.告知责任：告知检查对象陈述、申辩等法定的救济权利和途径，依法配合检查的法定义务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3.检查责任：对行政执检查中发现的问题作出相关的行政决定。                                                                                         </w:t>
            </w:r>
            <w:r>
              <w:rPr>
                <w:rFonts w:hint="eastAsia" w:ascii="宋体" w:hAnsi="宋体" w:eastAsia="宋体" w:cs="宋体"/>
                <w:i w:val="0"/>
                <w:iCs w:val="0"/>
                <w:color w:val="000000"/>
                <w:kern w:val="2"/>
                <w:sz w:val="16"/>
                <w:szCs w:val="16"/>
                <w:lang w:val="en-US" w:eastAsia="zh-CN" w:bidi="ar-SA"/>
              </w:rPr>
              <w:t>4.</w:t>
            </w:r>
            <w:r>
              <w:rPr>
                <w:rFonts w:hint="eastAsia" w:ascii="宋体" w:hAnsi="宋体" w:eastAsia="宋体" w:cs="宋体"/>
                <w:i w:val="0"/>
                <w:iCs w:val="0"/>
                <w:color w:val="000000"/>
                <w:kern w:val="0"/>
                <w:sz w:val="16"/>
                <w:szCs w:val="16"/>
                <w:u w:val="none"/>
                <w:lang w:val="en-US" w:eastAsia="zh-CN" w:bidi="ar"/>
              </w:rPr>
              <w:t>监管责任：监督检查对象应当严格按照决定的内容执行。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p>
        </w:tc>
        <w:tc>
          <w:tcPr>
            <w:tcW w:w="31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【法律】《中华人民共和国律师法》（2017年修正主席令第76号）</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第四条 司法行政部门依照本法对律师、律师事务所和律师协会进行监督、指导。</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【部门规章】《律师事务所管理办法》</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第六十四条　县级司法行政机关对本行政区域内的律师事务所的执业活动进行日常监督管理，履行下列职责：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(一)监督律师事务所在开展业务活动过程中遵守法律、法规、规章的情况;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(二)监督律师事务所执业和内部管理制度的建立和实施情况;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(三)监督律师事务所保持法定设立条件以及变更报批或者备案的执行情况;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(四)监督律师事务所进行清算、申请注销的情况;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(五)监督律师事务所开展律师执业年度考核和上报年度执业总结的情况;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(六)受理对律师事务所的举报和投诉;</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(七)监督律师事务所履行行政处罚和实行整改的情况;</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themeColor="text1"/>
                <w:sz w:val="16"/>
                <w:szCs w:val="16"/>
                <w:u w:val="none"/>
                <w14:textFill>
                  <w14:solidFill>
                    <w14:schemeClr w14:val="tx1"/>
                  </w14:solidFill>
                </w14:textFill>
              </w:rPr>
            </w:pPr>
            <w:r>
              <w:rPr>
                <w:rFonts w:hint="eastAsia" w:ascii="宋体" w:hAnsi="宋体" w:eastAsia="宋体" w:cs="宋体"/>
                <w:i w:val="0"/>
                <w:iCs w:val="0"/>
                <w:color w:val="000000" w:themeColor="text1"/>
                <w:sz w:val="16"/>
                <w:szCs w:val="16"/>
                <w:u w:val="none"/>
                <w14:textFill>
                  <w14:solidFill>
                    <w14:schemeClr w14:val="tx1"/>
                  </w14:solidFill>
                </w14:textFill>
              </w:rPr>
              <w:t>(八)司法部和省、自治区、直辖市司法行政机关规定的其他职责。</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themeColor="text1"/>
                <w:sz w:val="16"/>
                <w:szCs w:val="16"/>
                <w:u w:val="none"/>
                <w14:textFill>
                  <w14:solidFill>
                    <w14:schemeClr w14:val="tx1"/>
                  </w14:solidFill>
                </w14:textFill>
              </w:rPr>
              <w:t>县级司法行政机关在开展日常监督管理过程中，对发现、查实的律师事务所在执业和内部管理方面存在的问题，应当对律师事务所负责人或者有关律师进行警示谈话，责令改正，并对其整改情况进行监督;</w:t>
            </w:r>
            <w:r>
              <w:rPr>
                <w:rFonts w:hint="eastAsia" w:ascii="宋体" w:hAnsi="宋体" w:eastAsia="宋体" w:cs="宋体"/>
                <w:i w:val="0"/>
                <w:iCs w:val="0"/>
                <w:color w:val="000000"/>
                <w:sz w:val="16"/>
                <w:szCs w:val="16"/>
                <w:u w:val="none"/>
              </w:rPr>
              <w:t>对律师事务所的违法行为认为依法应当给予行政处罚的，应当向上一级司法行政机关提出处罚建议;认为需要给予行业惩戒的，移送律师协会处理。</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2.同1。</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3.同1。</w:t>
            </w:r>
          </w:p>
          <w:p>
            <w:pPr>
              <w:pStyle w:val="2"/>
              <w:rPr>
                <w:rFonts w:hint="eastAsia"/>
              </w:rPr>
            </w:pPr>
            <w:r>
              <w:rPr>
                <w:rFonts w:hint="eastAsia" w:ascii="宋体" w:hAnsi="宋体" w:eastAsia="宋体" w:cs="宋体"/>
                <w:i w:val="0"/>
                <w:iCs w:val="0"/>
                <w:color w:val="000000"/>
                <w:kern w:val="0"/>
                <w:sz w:val="16"/>
                <w:szCs w:val="16"/>
                <w:u w:val="none"/>
                <w:lang w:val="en-US" w:eastAsia="zh-CN" w:bidi="ar"/>
              </w:rPr>
              <w:t>4.同1。</w:t>
            </w:r>
          </w:p>
        </w:tc>
        <w:tc>
          <w:tcPr>
            <w:tcW w:w="2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律师事务所</w:t>
            </w:r>
          </w:p>
        </w:tc>
        <w:tc>
          <w:tcPr>
            <w:tcW w:w="2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公共法律服务管理股</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7" w:hRule="atLeast"/>
          <w:jc w:val="center"/>
        </w:trPr>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lang w:val="en-US" w:eastAsia="zh-CN"/>
              </w:rPr>
              <w:t>5</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 政 检 查</w:t>
            </w:r>
          </w:p>
        </w:tc>
        <w:tc>
          <w:tcPr>
            <w:tcW w:w="645"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0800-J-00700-140430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对法律服务人员承办法律援助事项质量的检查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30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【法律】《中华人民共和国法律援助条法》</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国务院司法行政部门指导、监督全国的法律援助工作。县级以上地方人民政府司法行政部门指导、监督本行政区域的法律援助工作。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【行政法规】《法律援助条例》（国务院令第385号）第4条 国务院司法行政部门监督管理全国的法律援助工作。县级以上地方各级人民政府司法行政部门监督管理本行政区域的法律援助工作。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lang w:val="en-US" w:eastAsia="zh-CN" w:bidi="ar-SA"/>
              </w:rPr>
              <w:t>1.</w:t>
            </w:r>
            <w:r>
              <w:rPr>
                <w:rFonts w:hint="eastAsia" w:ascii="宋体" w:hAnsi="宋体" w:eastAsia="宋体" w:cs="宋体"/>
                <w:i w:val="0"/>
                <w:iCs w:val="0"/>
                <w:color w:val="000000"/>
                <w:kern w:val="0"/>
                <w:sz w:val="20"/>
                <w:szCs w:val="20"/>
                <w:u w:val="none"/>
                <w:lang w:val="en-US" w:eastAsia="zh-CN" w:bidi="ar"/>
              </w:rPr>
              <w:t xml:space="preserve">检查责任：制定行政检查方案，内容包括检查内容、检查部门、检查时间、检查要求等。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2"/>
                <w:sz w:val="20"/>
                <w:szCs w:val="20"/>
                <w:lang w:val="en-US" w:eastAsia="zh-CN" w:bidi="ar-SA"/>
              </w:rPr>
              <w:t>2.</w:t>
            </w:r>
            <w:r>
              <w:rPr>
                <w:rFonts w:hint="eastAsia" w:ascii="宋体" w:hAnsi="宋体" w:eastAsia="宋体" w:cs="宋体"/>
                <w:i w:val="0"/>
                <w:iCs w:val="0"/>
                <w:color w:val="000000"/>
                <w:kern w:val="0"/>
                <w:sz w:val="20"/>
                <w:szCs w:val="20"/>
                <w:u w:val="none"/>
                <w:lang w:val="en-US" w:eastAsia="zh-CN" w:bidi="ar"/>
              </w:rPr>
              <w:t>.告知责任：告知检查对象陈述、申辩等法定的救济权利和途径，依法配合检查的法定义务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3.检查责任：对行政执检查中发现的问题作出相关的行政决定。                                                                                         </w:t>
            </w:r>
            <w:r>
              <w:rPr>
                <w:rFonts w:hint="eastAsia" w:ascii="宋体" w:hAnsi="宋体" w:eastAsia="宋体" w:cs="宋体"/>
                <w:i w:val="0"/>
                <w:iCs w:val="0"/>
                <w:color w:val="000000"/>
                <w:kern w:val="2"/>
                <w:sz w:val="20"/>
                <w:szCs w:val="20"/>
                <w:lang w:val="en-US" w:eastAsia="zh-CN" w:bidi="ar-SA"/>
              </w:rPr>
              <w:t>4.</w:t>
            </w:r>
            <w:r>
              <w:rPr>
                <w:rFonts w:hint="eastAsia" w:ascii="宋体" w:hAnsi="宋体" w:eastAsia="宋体" w:cs="宋体"/>
                <w:i w:val="0"/>
                <w:iCs w:val="0"/>
                <w:color w:val="000000"/>
                <w:kern w:val="0"/>
                <w:sz w:val="20"/>
                <w:szCs w:val="20"/>
                <w:u w:val="none"/>
                <w:lang w:val="en-US" w:eastAsia="zh-CN" w:bidi="ar"/>
              </w:rPr>
              <w:t>监管责任：监督检查对象应当严格按照决定的内容执行。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p>
        </w:tc>
        <w:tc>
          <w:tcPr>
            <w:tcW w:w="313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【法律】《中华人民共和国法律援助条法》</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国务院司法行政部门指导、监督全国的法律援助工作。县级以上地方人民政府司法行政部门指导、监督本行政区域的法律援助工作。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【行政法规】《法律援助条例》（国务院令第385号）第4条 国务院司法行政部门监督管理全国的法律援助工作。县级以上地方各级人民政府司法行政部门监督管理本行政区域的法律援助工作。</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2.同1。</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3.同1。</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rPr>
            </w:pPr>
            <w:r>
              <w:rPr>
                <w:rFonts w:hint="eastAsia" w:ascii="宋体" w:hAnsi="宋体" w:eastAsia="宋体" w:cs="宋体"/>
                <w:i w:val="0"/>
                <w:iCs w:val="0"/>
                <w:color w:val="000000"/>
                <w:kern w:val="0"/>
                <w:sz w:val="20"/>
                <w:szCs w:val="20"/>
                <w:u w:val="none"/>
                <w:lang w:val="en-US" w:eastAsia="zh-CN" w:bidi="ar"/>
              </w:rPr>
              <w:t>4.同1。</w:t>
            </w:r>
          </w:p>
        </w:tc>
        <w:tc>
          <w:tcPr>
            <w:tcW w:w="28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法律服务人员</w:t>
            </w:r>
          </w:p>
        </w:tc>
        <w:tc>
          <w:tcPr>
            <w:tcW w:w="2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公共法律服务管理股</w:t>
            </w: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left="-105" w:leftChars="-50" w:right="-105" w:rightChars="-50"/>
              <w:jc w:val="center"/>
              <w:rPr>
                <w:rFonts w:hint="eastAsia" w:ascii="宋体" w:hAnsi="宋体" w:eastAsia="宋体" w:cs="宋体"/>
                <w:i w:val="0"/>
                <w:iCs w:val="0"/>
                <w:color w:val="000000"/>
                <w:sz w:val="16"/>
                <w:szCs w:val="16"/>
                <w:u w:val="none"/>
              </w:rPr>
            </w:pPr>
          </w:p>
        </w:tc>
      </w:tr>
    </w:tbl>
    <w:p>
      <w:pPr>
        <w:jc w:val="left"/>
        <w:rPr>
          <w:rFonts w:hint="default"/>
          <w:lang w:val="en-US" w:eastAsia="zh-CN"/>
        </w:rPr>
      </w:pPr>
    </w:p>
    <w:sectPr>
      <w:footerReference r:id="rId3" w:type="default"/>
      <w:pgSz w:w="16838" w:h="11906" w:orient="landscape"/>
      <w:pgMar w:top="964" w:right="567" w:bottom="567" w:left="567" w:header="851" w:footer="45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D391B31C-FB86-4F2D-81F9-A94097A5CC3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21D00"/>
    <w:multiLevelType w:val="singleLevel"/>
    <w:tmpl w:val="E5621D00"/>
    <w:lvl w:ilvl="0" w:tentative="0">
      <w:start w:val="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zZiYTE2ZjcyMzdlNjNkNzhhOTBkM2MyNDEyNTQifQ=="/>
  </w:docVars>
  <w:rsids>
    <w:rsidRoot w:val="791014DF"/>
    <w:rsid w:val="00A96A9D"/>
    <w:rsid w:val="00D26D9F"/>
    <w:rsid w:val="01371FC7"/>
    <w:rsid w:val="04910D1F"/>
    <w:rsid w:val="06552C3F"/>
    <w:rsid w:val="08DD5C16"/>
    <w:rsid w:val="0C1A53F2"/>
    <w:rsid w:val="0C1D2CA0"/>
    <w:rsid w:val="0D847A3E"/>
    <w:rsid w:val="12380A2C"/>
    <w:rsid w:val="124141A0"/>
    <w:rsid w:val="1B404271"/>
    <w:rsid w:val="1BB10D1E"/>
    <w:rsid w:val="1CAB2521"/>
    <w:rsid w:val="1FC14756"/>
    <w:rsid w:val="2038766C"/>
    <w:rsid w:val="25D20B6E"/>
    <w:rsid w:val="264B7744"/>
    <w:rsid w:val="26EF28B2"/>
    <w:rsid w:val="2A5266D7"/>
    <w:rsid w:val="2D771B75"/>
    <w:rsid w:val="2D8E2AE5"/>
    <w:rsid w:val="34912297"/>
    <w:rsid w:val="34FC356E"/>
    <w:rsid w:val="368C02DA"/>
    <w:rsid w:val="39F552D0"/>
    <w:rsid w:val="3A5E02EE"/>
    <w:rsid w:val="3BD07F99"/>
    <w:rsid w:val="3C1938F2"/>
    <w:rsid w:val="3D357EBF"/>
    <w:rsid w:val="3E451B6A"/>
    <w:rsid w:val="3FBD30C9"/>
    <w:rsid w:val="412263AC"/>
    <w:rsid w:val="42FC0288"/>
    <w:rsid w:val="44363783"/>
    <w:rsid w:val="49137521"/>
    <w:rsid w:val="56FFFDBB"/>
    <w:rsid w:val="5A225816"/>
    <w:rsid w:val="5BDA4C68"/>
    <w:rsid w:val="5C7E5C9E"/>
    <w:rsid w:val="5E7D754D"/>
    <w:rsid w:val="633F13EC"/>
    <w:rsid w:val="6652729B"/>
    <w:rsid w:val="6685674A"/>
    <w:rsid w:val="684F1F1D"/>
    <w:rsid w:val="69F65ECC"/>
    <w:rsid w:val="6F3D41BD"/>
    <w:rsid w:val="6FB22007"/>
    <w:rsid w:val="71E76CD1"/>
    <w:rsid w:val="73BB76DB"/>
    <w:rsid w:val="7468665E"/>
    <w:rsid w:val="75C63146"/>
    <w:rsid w:val="791014DF"/>
    <w:rsid w:val="7C9B6D03"/>
    <w:rsid w:val="7EF24875"/>
    <w:rsid w:val="7FCF1436"/>
    <w:rsid w:val="CB3FA66F"/>
    <w:rsid w:val="DF7EC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font51"/>
    <w:basedOn w:val="7"/>
    <w:qFormat/>
    <w:uiPriority w:val="0"/>
    <w:rPr>
      <w:rFonts w:hint="eastAsia" w:ascii="黑体" w:hAnsi="宋体" w:eastAsia="黑体" w:cs="黑体"/>
      <w:color w:val="000000"/>
      <w:sz w:val="28"/>
      <w:szCs w:val="28"/>
      <w:u w:val="none"/>
    </w:rPr>
  </w:style>
  <w:style w:type="character" w:customStyle="1" w:styleId="9">
    <w:name w:val="font61"/>
    <w:basedOn w:val="7"/>
    <w:qFormat/>
    <w:uiPriority w:val="0"/>
    <w:rPr>
      <w:rFonts w:ascii="Arial" w:hAnsi="Arial" w:cs="Arial"/>
      <w:color w:val="000000"/>
      <w:sz w:val="28"/>
      <w:szCs w:val="28"/>
      <w:u w:val="none"/>
    </w:rPr>
  </w:style>
  <w:style w:type="character" w:customStyle="1" w:styleId="10">
    <w:name w:val="font31"/>
    <w:basedOn w:val="7"/>
    <w:qFormat/>
    <w:uiPriority w:val="0"/>
    <w:rPr>
      <w:rFonts w:hint="eastAsia" w:ascii="宋体" w:hAnsi="宋体" w:eastAsia="宋体" w:cs="宋体"/>
      <w:b/>
      <w:bCs/>
      <w:color w:val="000000"/>
      <w:sz w:val="22"/>
      <w:szCs w:val="22"/>
      <w:u w:val="none"/>
    </w:rPr>
  </w:style>
  <w:style w:type="character" w:customStyle="1" w:styleId="11">
    <w:name w:val="font01"/>
    <w:basedOn w:val="7"/>
    <w:qFormat/>
    <w:uiPriority w:val="0"/>
    <w:rPr>
      <w:rFonts w:hint="eastAsia" w:ascii="宋体" w:hAnsi="宋体" w:eastAsia="宋体" w:cs="宋体"/>
      <w:color w:val="000000"/>
      <w:sz w:val="22"/>
      <w:szCs w:val="22"/>
      <w:u w:val="none"/>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4991</Words>
  <Characters>5151</Characters>
  <Lines>0</Lines>
  <Paragraphs>0</Paragraphs>
  <TotalTime>1</TotalTime>
  <ScaleCrop>false</ScaleCrop>
  <LinksUpToDate>false</LinksUpToDate>
  <CharactersWithSpaces>6147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2021-10-13T08:22:00Z</dcterms:created>
  <dc:creator>宇杰印刷15536186122</dc:creator>
  <cp:lastModifiedBy>荣欢</cp:lastModifiedBy>
  <dcterms:modified xsi:type="dcterms:W3CDTF">2025-08-19T10:19:11Z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42ACA05739BE47D0B730C629BFABAFF1_13</vt:lpwstr>
  </property>
  <property fmtid="{D5CDD505-2E9C-101B-9397-08002B2CF9AE}" pid="4" name="KSOTemplateDocerSaveRecord">
    <vt:lpwstr>eyJoZGlkIjoiYWU5YzFhZjRjYTU0ZDlmNjkyOGQ3OTQ1ZTUwOTdhOTMiLCJ1c2VySWQiOiI0Mzk3NjY4OTIifQ==</vt:lpwstr>
  </property>
</Properties>
</file>