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CCF77D">
      <w:pPr>
        <w:keepNext w:val="0"/>
        <w:keepLines w:val="0"/>
        <w:pageBreakBefore w:val="0"/>
        <w:widowControl w:val="0"/>
        <w:tabs>
          <w:tab w:val="left" w:pos="1196"/>
        </w:tabs>
        <w:kinsoku/>
        <w:wordWrap/>
        <w:overflowPunct w:val="0"/>
        <w:topLinePunct w:val="0"/>
        <w:autoSpaceDE/>
        <w:autoSpaceDN/>
        <w:bidi w:val="0"/>
        <w:spacing w:after="0" w:line="576" w:lineRule="exact"/>
        <w:jc w:val="left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附件</w:t>
      </w:r>
    </w:p>
    <w:p w14:paraId="6174ED92">
      <w:pPr>
        <w:pStyle w:val="11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beforeAutospacing="0" w:after="0" w:afterAutospacing="0" w:line="576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eastAsia="方正小标宋_GBK" w:cs="Times New Roman"/>
          <w:color w:val="auto"/>
          <w:spacing w:val="0"/>
          <w:sz w:val="44"/>
          <w:szCs w:val="44"/>
          <w:highlight w:val="none"/>
          <w:u w:val="none" w:color="auto"/>
          <w:lang w:val="en-US" w:eastAsia="zh-CN"/>
        </w:rPr>
      </w:pPr>
    </w:p>
    <w:p w14:paraId="4F358F00">
      <w:pPr>
        <w:pStyle w:val="11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beforeAutospacing="0" w:after="0" w:afterAutospacing="0" w:line="576" w:lineRule="exact"/>
        <w:ind w:left="0" w:leftChars="0" w:firstLine="0" w:firstLineChars="0"/>
        <w:jc w:val="center"/>
        <w:textAlignment w:val="auto"/>
        <w:rPr>
          <w:rFonts w:hint="eastAsia" w:ascii="Times New Roman" w:hAnsi="Times New Roman" w:eastAsia="方正小标宋_GBK" w:cs="Times New Roman"/>
          <w:color w:val="auto"/>
          <w:spacing w:val="0"/>
          <w:sz w:val="44"/>
          <w:szCs w:val="44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方正小标宋_GBK" w:cs="Times New Roman"/>
          <w:color w:val="auto"/>
          <w:spacing w:val="0"/>
          <w:sz w:val="44"/>
          <w:szCs w:val="44"/>
          <w:highlight w:val="none"/>
          <w:u w:val="none" w:color="auto"/>
          <w:lang w:val="en-US" w:eastAsia="zh-CN"/>
        </w:rPr>
        <w:t>2024年</w:t>
      </w:r>
      <w:r>
        <w:rPr>
          <w:rFonts w:hint="default" w:ascii="Times New Roman" w:hAnsi="Times New Roman" w:eastAsia="方正小标宋_GBK" w:cs="Times New Roman"/>
          <w:color w:val="000000"/>
          <w:sz w:val="44"/>
          <w:szCs w:val="44"/>
          <w:lang w:eastAsia="zh-CN"/>
        </w:rPr>
        <w:t>县政</w:t>
      </w:r>
      <w:r>
        <w:rPr>
          <w:rFonts w:hint="default" w:ascii="Times New Roman" w:hAnsi="Times New Roman" w:eastAsia="方正小标宋_GBK" w:cs="Times New Roman"/>
          <w:color w:val="auto"/>
          <w:spacing w:val="0"/>
          <w:sz w:val="44"/>
          <w:szCs w:val="44"/>
          <w:highlight w:val="none"/>
          <w:u w:val="none" w:color="auto"/>
          <w:lang w:val="en-US" w:eastAsia="zh-CN"/>
        </w:rPr>
        <w:t>府工作报告重点目标任务清单</w:t>
      </w:r>
    </w:p>
    <w:p w14:paraId="3BBCA838">
      <w:pPr>
        <w:pStyle w:val="6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before="0" w:beforeAutospacing="0" w:after="0" w:afterAutospacing="0" w:line="576" w:lineRule="exact"/>
        <w:textAlignment w:val="auto"/>
        <w:rPr>
          <w:rFonts w:hint="eastAsia"/>
          <w:lang w:val="en-US" w:eastAsia="zh-CN"/>
        </w:rPr>
      </w:pPr>
    </w:p>
    <w:p w14:paraId="5B7B3A12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一、县政府办公室牵头（2项）</w:t>
      </w:r>
    </w:p>
    <w:p w14:paraId="5B383436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 xml:space="preserve">1. 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加强对小额贷款、融资担保公司和典当行等金融机构的监管和分类评级，依法抓好不良贷款清收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eastAsia="zh-CN"/>
        </w:rPr>
        <w:t>；</w:t>
      </w:r>
    </w:p>
    <w:p w14:paraId="52CAE347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>2. 持续做好非法集资风险排查、化解处置等工作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，坚决守住不发生系统性金融风</w:t>
      </w:r>
      <w:r>
        <w:rPr>
          <w:rFonts w:hint="default" w:ascii="Times New Roman" w:hAnsi="Times New Roman" w:eastAsia="仿宋_GB2312" w:cs="Times New Roman"/>
          <w:bCs/>
          <w:color w:val="auto"/>
          <w:spacing w:val="6"/>
          <w:sz w:val="32"/>
          <w:szCs w:val="32"/>
          <w:highlight w:val="none"/>
        </w:rPr>
        <w:t>险底线。</w:t>
      </w:r>
    </w:p>
    <w:p w14:paraId="630F6C14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二、县发改和科技局牵头（2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0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项）</w:t>
      </w:r>
    </w:p>
    <w:p w14:paraId="5EF9855F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u w:val="none" w:color="auto"/>
          <w:lang w:val="en-US" w:eastAsia="zh-CN"/>
        </w:rPr>
        <w:t>地区生产总值增长6%，在实际工作中尽可能争取更好结果；</w:t>
      </w:r>
    </w:p>
    <w:p w14:paraId="2C9B4001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. 固定资产投资增长14%以上；</w:t>
      </w:r>
    </w:p>
    <w:p w14:paraId="37FBF0F5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. 居民消费价格指数控制在3%；</w:t>
      </w:r>
    </w:p>
    <w:p w14:paraId="78359E85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推动非常规天然气增储上产，新建金源煤层气北区域开发（一期）工程，确保年产量稳定在4000万方以上；</w:t>
      </w:r>
    </w:p>
    <w:p w14:paraId="55638177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 抢抓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设备更新行动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政策机遇；</w:t>
      </w:r>
    </w:p>
    <w:p w14:paraId="1D593C1C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8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楷体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建设重点民间投资项目库，定期向民营企业推介产业链项目、补短板项目，引导煤炭领域等社会资本投资产业转型，全年新增民间投资15%以上，在更多领域让民营企业进得来、能发展、有作为；</w:t>
      </w:r>
    </w:p>
    <w:p w14:paraId="3B9D7F3C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  <w:t>继续推行政企早餐会、项目推进会等制度，健全完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善政企常态化沟通、企业参与政策制定等机制，真心实意为企业家解忧纾困；</w:t>
      </w:r>
    </w:p>
    <w:p w14:paraId="25EFAF71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10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发挥科技创新对发展新质生产力的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主导作用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，以创建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国家创新型县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为牵引，建立健全县域创新工作体系；</w:t>
      </w:r>
    </w:p>
    <w:p w14:paraId="6A92628A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11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. 支持仁达机电建设丘陵山区农业收获机械（部省）重点实验室；</w:t>
      </w:r>
    </w:p>
    <w:p w14:paraId="1F2F57AC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. 鼓励鸿达煤化、宏瑞祥申报市级中试基地；</w:t>
      </w:r>
    </w:p>
    <w:p w14:paraId="22F4EFE2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. 落实财政科技投入稳定增长机制，年内科技经费支出不低于3000万元，撬动更多社会资本和资源投向科技创新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；</w:t>
      </w:r>
    </w:p>
    <w:p w14:paraId="7E5E96FC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14.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新培育科技型中小企业12家、高新技术企业1家；</w:t>
      </w:r>
    </w:p>
    <w:p w14:paraId="1D8BA373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eastAsia" w:ascii="楷体_GB2312" w:hAnsi="楷体_GB2312" w:eastAsia="楷体_GB2312" w:cs="楷体_GB2312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年内新增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四上企业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20家以上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；</w:t>
      </w: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（配合单位：县统计局、县商务中心、县中小企业服务中心）</w:t>
      </w:r>
    </w:p>
    <w:p w14:paraId="73C0FAA7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16.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积极推进供气、供热、供水等公共服务领域价格改革；</w:t>
      </w:r>
    </w:p>
    <w:p w14:paraId="758E2AF9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17.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 把握万亿国债等政策机遇，滚动开展项目包装申报，扎实做好上级资金争取；</w:t>
      </w:r>
    </w:p>
    <w:p w14:paraId="26C6E083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18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. 狠抓京长对口合作，确保教育、医疗、科技等领域合作取得务实成果；</w:t>
      </w:r>
    </w:p>
    <w:p w14:paraId="1A8A1158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重点抓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好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采煤沉陷区综合治理；</w:t>
      </w:r>
    </w:p>
    <w:p w14:paraId="2570A95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20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严格落实</w:t>
      </w:r>
      <w:r>
        <w:rPr>
          <w:rFonts w:hint="eastAsia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eastAsia="zh-CN"/>
        </w:rPr>
        <w:t>“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双碳</w:t>
      </w:r>
      <w:r>
        <w:rPr>
          <w:rFonts w:hint="eastAsia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eastAsia="zh-CN"/>
        </w:rPr>
        <w:t>”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目标要求，严控</w:t>
      </w:r>
      <w:r>
        <w:rPr>
          <w:rFonts w:hint="eastAsia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eastAsia="zh-CN"/>
        </w:rPr>
        <w:t>“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两高</w:t>
      </w:r>
      <w:r>
        <w:rPr>
          <w:rFonts w:hint="eastAsia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eastAsia="zh-CN"/>
        </w:rPr>
        <w:t>”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项目上马</w:t>
      </w:r>
      <w:r>
        <w:rPr>
          <w:rFonts w:hint="eastAsia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eastAsia="zh-CN"/>
        </w:rPr>
        <w:t>；</w:t>
      </w:r>
    </w:p>
    <w:p w14:paraId="45B8AFC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21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 依托山大固废研发基地，聚焦煤矸石、粉煤灰等大宗固废转化利用，加快突破固废基填料、铝硅复合材料等高值化利用技术瓶颈；</w:t>
      </w:r>
    </w:p>
    <w:p w14:paraId="142D241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22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 鼓励山大固废研发基地与路桥集团、上良煤业等企业开展合作，推动煤矸石制生态土等技术中试应用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。</w:t>
      </w:r>
    </w:p>
    <w:p w14:paraId="0A449338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三、县教育局牵头（6项）</w:t>
      </w:r>
    </w:p>
    <w:p w14:paraId="7C352FD8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23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 坚持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开放办学理念，深化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襄垣一中与魏县一中、襄垣二中与衡水泰华战略合作，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开展校长教师赴北京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昌平区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跟岗研修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、专家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来襄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送教指导等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活动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引进更多优质教育资源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；</w:t>
      </w:r>
    </w:p>
    <w:p w14:paraId="621DC432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积极推进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滨河中学前期手续办理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滨河小学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项目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建设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；</w:t>
      </w:r>
    </w:p>
    <w:p w14:paraId="15FC41C7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25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有序化解教育园区遗留问题；</w:t>
      </w:r>
    </w:p>
    <w:p w14:paraId="5970A4A4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26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严格落实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双减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政策，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推进义务教育均衡发展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提升学前教育普及普惠水平；</w:t>
      </w:r>
    </w:p>
    <w:p w14:paraId="6C656BD3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27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完成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襄垣一中电网改造，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更新中小学校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实验仪器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照明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消毒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等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硬件配套设施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；</w:t>
      </w:r>
    </w:p>
    <w:p w14:paraId="0F6930B7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28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实施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一小学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、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太行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小学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放心午餐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工程，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实现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县城内6所小学全覆盖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。</w:t>
      </w:r>
    </w:p>
    <w:p w14:paraId="5226A936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四、县工信局牵头（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5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项）</w:t>
      </w:r>
    </w:p>
    <w:p w14:paraId="49FE83CE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29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鼓励引导焦炉煤气等副产品转化利用；</w:t>
      </w:r>
    </w:p>
    <w:p w14:paraId="474A1725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 鼓励金鼎焦化申报国家级智能制造示范工厂、金烨焦化申报省级智能制造企业，打造一批智能制造示范项目；</w:t>
      </w:r>
    </w:p>
    <w:p w14:paraId="45307418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31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  <w:t>持续完善信息基础设施，推动5G信号进一步向农村覆盖；</w:t>
      </w:r>
    </w:p>
    <w:p w14:paraId="5882349F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32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  健全拖欠中小企业账款常态化预防和清理机制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；</w:t>
      </w:r>
    </w:p>
    <w:p w14:paraId="5E78826B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textAlignment w:val="auto"/>
        <w:rPr>
          <w:rFonts w:hint="default" w:ascii="Times New Roman" w:hAnsi="Times New Roman" w:cs="Times New Roman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33.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新培育企业技术中心2家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。</w:t>
      </w:r>
    </w:p>
    <w:p w14:paraId="10A68EED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五、县公安局牵头（1项）</w:t>
      </w:r>
    </w:p>
    <w:p w14:paraId="7769C7B6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>34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常态化推进扫黑除恶斗争，严打</w:t>
      </w:r>
      <w:r>
        <w:rPr>
          <w:rFonts w:hint="eastAsia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eastAsia="zh-CN"/>
        </w:rPr>
        <w:t>“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盗抢骗</w:t>
      </w:r>
      <w:r>
        <w:rPr>
          <w:rFonts w:hint="eastAsia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eastAsia="zh-CN"/>
        </w:rPr>
        <w:t>”“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黄赌毒</w:t>
      </w:r>
      <w:r>
        <w:rPr>
          <w:rFonts w:hint="eastAsia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eastAsia="zh-CN"/>
        </w:rPr>
        <w:t>”“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食药环</w:t>
      </w:r>
      <w:r>
        <w:rPr>
          <w:rFonts w:hint="eastAsia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eastAsia="zh-CN"/>
        </w:rPr>
        <w:t>”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、电信网络诈骗、养老诈骗等违法犯罪活动。</w:t>
      </w:r>
    </w:p>
    <w:p w14:paraId="57259713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六、县民政局牵头（6项）</w:t>
      </w:r>
    </w:p>
    <w:p w14:paraId="543E5D63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35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推进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城乡养老和老年助餐幸福工程；</w:t>
      </w:r>
    </w:p>
    <w:p w14:paraId="6B6F25F1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36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启动侯堡镇潞北社区养老服务中心建设；</w:t>
      </w:r>
    </w:p>
    <w:p w14:paraId="61746BB2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37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有序实施古韩镇、下良镇敬老院改扩建项目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；</w:t>
      </w:r>
    </w:p>
    <w:p w14:paraId="4B1EE22F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38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完成米坪村等8处老年人日间照料中心改建；</w:t>
      </w:r>
    </w:p>
    <w:p w14:paraId="55459EFF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39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继续完善县殡仪馆配套及县镇两级公益性公墓；</w:t>
      </w:r>
    </w:p>
    <w:p w14:paraId="19C91487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40.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 认真落实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困难家庭、低保保障扶持措施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加强残疾人、孤儿、农村留守儿童关爱服务，强化未成年人保护。</w:t>
      </w:r>
    </w:p>
    <w:p w14:paraId="3580FBF7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七、县司法局牵头（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3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项）</w:t>
      </w:r>
    </w:p>
    <w:p w14:paraId="57418E78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41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积极争创一批民主法治示范村；</w:t>
      </w:r>
    </w:p>
    <w:p w14:paraId="3AEB3404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42. 深化行政复议体制改革；</w:t>
      </w:r>
    </w:p>
    <w:p w14:paraId="0285BE30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43. 加强行政规范性文件合法性审查。</w:t>
      </w:r>
    </w:p>
    <w:p w14:paraId="23879820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八、县财政局牵头（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6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项）</w:t>
      </w:r>
    </w:p>
    <w:p w14:paraId="01FA64FA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bCs/>
          <w:color w:val="auto"/>
          <w:spacing w:val="-6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44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一般公共预算收入</w:t>
      </w:r>
      <w:r>
        <w:rPr>
          <w:rFonts w:hint="default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u w:val="none" w:color="auto"/>
          <w:lang w:val="en-US" w:eastAsia="zh-CN"/>
        </w:rPr>
        <w:t>增长3%；</w:t>
      </w:r>
    </w:p>
    <w:p w14:paraId="216F87CC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64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u w:val="none" w:color="auto"/>
          <w:lang w:val="en-US" w:eastAsia="zh-CN"/>
        </w:rPr>
        <w:t>45</w:t>
      </w:r>
      <w:r>
        <w:rPr>
          <w:rFonts w:hint="default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u w:val="none" w:color="auto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积极争取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五好两宜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和美乡村试点试验；</w:t>
      </w:r>
    </w:p>
    <w:p w14:paraId="5AA42311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bCs/>
          <w:color w:val="auto"/>
          <w:spacing w:val="-6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46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 探索设立政府投资基金，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引导并撬动社会资本；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-6"/>
          <w:sz w:val="32"/>
          <w:szCs w:val="32"/>
          <w:highlight w:val="none"/>
          <w:lang w:val="en-US" w:eastAsia="zh-CN"/>
        </w:rPr>
        <w:t>（配合单位：县发改和科技局）</w:t>
      </w:r>
    </w:p>
    <w:p w14:paraId="038B99AD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16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楷体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Times New Roman" w:hAnsi="Times New Roman" w:eastAsia="楷体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7</w:t>
      </w:r>
      <w:r>
        <w:rPr>
          <w:rFonts w:hint="default" w:ascii="Times New Roman" w:hAnsi="Times New Roman" w:eastAsia="楷体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 xml:space="preserve">. 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深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化财政管理体制改革，严格预算绩效全过程管理，加大财政资源统筹力度，强化重大项目、重点任务、重要民生资金保障；</w:t>
      </w:r>
    </w:p>
    <w:p w14:paraId="09108B21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48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. 用好合理扩大地方政府专项债券用作资本金范围的政策，强化财政金融联动；</w:t>
      </w:r>
    </w:p>
    <w:p w14:paraId="7ED10F2E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49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>强化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政府债务管理，打好盘活、节支、增收组合拳，严控低效投资项目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压降债务成本，杜绝新增隐性债务。</w:t>
      </w:r>
    </w:p>
    <w:p w14:paraId="54779B16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九、县人社局牵头（5项）</w:t>
      </w:r>
    </w:p>
    <w:p w14:paraId="014198D8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64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u w:val="none" w:color="auto"/>
          <w:lang w:val="en-US" w:eastAsia="zh-CN"/>
        </w:rPr>
        <w:t>50</w:t>
      </w:r>
      <w:r>
        <w:rPr>
          <w:rFonts w:hint="default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u w:val="none" w:color="auto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val="en-US" w:eastAsia="zh-CN"/>
        </w:rPr>
        <w:t>实施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</w:rPr>
        <w:t>重点群体创业推进行动，全面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落实创业担保贷款、一次性创业补贴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；</w:t>
      </w:r>
    </w:p>
    <w:p w14:paraId="5CE3E9B6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51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积极开展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春风行动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提升公益性零工市场服务水平，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统筹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做好高校毕业生、退役军人、脱贫人口等重点人群就业帮扶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；</w:t>
      </w:r>
    </w:p>
    <w:p w14:paraId="1ED645E9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52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精准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实施订单式、项目制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就业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培训，培育壮大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晋襄阿姨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等特色劳务品牌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；</w:t>
      </w:r>
    </w:p>
    <w:p w14:paraId="0378AE59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left="319" w:leftChars="145" w:firstLine="320" w:firstLineChars="1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53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着力完善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就业社保服务，加快实现社区村村全覆盖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；</w:t>
      </w:r>
    </w:p>
    <w:p w14:paraId="3FFF7A5E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54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加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大根治欠薪力度，落实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五项用工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制度，维护劳动者合法权益。</w:t>
      </w:r>
    </w:p>
    <w:p w14:paraId="27646012">
      <w:pPr>
        <w:keepNext w:val="0"/>
        <w:keepLines w:val="0"/>
        <w:pageBreakBefore w:val="0"/>
        <w:widowControl w:val="0"/>
        <w:numPr>
          <w:ilvl w:val="0"/>
          <w:numId w:val="1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县自然资源局牵头（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8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项）</w:t>
      </w:r>
    </w:p>
    <w:p w14:paraId="608CBC4A"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spacing w:before="0" w:beforeAutospacing="0" w:after="0" w:afterAutospacing="0" w:line="576" w:lineRule="exact"/>
        <w:ind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 w:bidi="ar-SA"/>
        </w:rPr>
        <w:t>55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 w:bidi="ar-SA"/>
        </w:rPr>
        <w:t xml:space="preserve">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配套建设金鼎LNG弛放气制</w:t>
      </w:r>
      <w:r>
        <w:rPr>
          <w:rFonts w:hint="default" w:ascii="Times New Roman" w:hAnsi="Times New Roman" w:eastAsia="仿宋_GB2312" w:cs="Times New Roman"/>
          <w:b w:val="0"/>
          <w:bCs w:val="0"/>
          <w:spacing w:val="0"/>
          <w:sz w:val="32"/>
          <w:szCs w:val="32"/>
          <w:highlight w:val="none"/>
          <w:lang w:val="en-US" w:eastAsia="zh-CN"/>
        </w:rPr>
        <w:t>3200万标方高纯氢联产4.2万吨液氨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、LNG加氢合建站等延链项目；</w:t>
      </w:r>
    </w:p>
    <w:p w14:paraId="5AB2B0BE"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spacing w:before="0" w:beforeAutospacing="0" w:after="0" w:afterAutospacing="0" w:line="576" w:lineRule="exact"/>
        <w:ind w:right="0" w:rightChars="0"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56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坚决扛牢耕地保护和粮食安全责任，全面推行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田长制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，牢牢守住66.02万亩耕地红线；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（配合单位：县农业农村局）</w:t>
      </w:r>
    </w:p>
    <w:p w14:paraId="605FAB67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楷体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57</w:t>
      </w:r>
      <w:r>
        <w:rPr>
          <w:rFonts w:hint="default" w:ascii="Times New Roman" w:hAnsi="Times New Roman" w:eastAsia="楷体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建立完善规划执行的刚性约束机制，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fldChar w:fldCharType="begin"/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instrText xml:space="preserve"> HYPERLINK "https://www.baidu.com/link?url=L3IWoqzM5aoEhMAk_Nm1M47tFe2Rddsr_-1mdIklVCt8HVdVFH0UdkA0scyS77PsWeFk_emV7oS_VFuREDsVWa&amp;wd=&amp;eqid=b671c96800ddcca3000000026623c096" \t "https://www.baidu.com/_blank" </w:instrTex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fldChar w:fldCharType="separate"/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强化建设项目用地标准审核，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fldChar w:fldCharType="end"/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大幅提高集约节约用地水平，优化拓展承载空间，推动园区发展由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要素驱动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向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创新驱动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转型；</w:t>
      </w:r>
    </w:p>
    <w:p w14:paraId="2CBA6AFF"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spacing w:before="0" w:beforeAutospacing="0" w:after="0" w:afterAutospacing="0" w:line="576" w:lineRule="exact"/>
        <w:ind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58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综合运用增减挂钩、占补平衡等方式增加土地储备，提前组卷报批，有序安排供地，高效保障项目落地需求；</w:t>
      </w:r>
    </w:p>
    <w:p w14:paraId="1BDF31C2"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spacing w:before="0" w:beforeAutospacing="0" w:after="0" w:afterAutospacing="0" w:line="576" w:lineRule="exact"/>
        <w:ind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59.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大力整治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两违建设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、乱占耕地等行为；</w:t>
      </w:r>
    </w:p>
    <w:p w14:paraId="6DEFCB37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60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实施颐高（襄垣）数字生活街区项目；</w:t>
      </w:r>
    </w:p>
    <w:p w14:paraId="517344D6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61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重点抓好矿山生态修复治理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；</w:t>
      </w:r>
    </w:p>
    <w:p w14:paraId="14215464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 xml:space="preserve">62.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</w:rPr>
        <w:t>严厉打击私挖乱采、越界开采等违法违规行为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  <w:lang w:eastAsia="zh-CN"/>
        </w:rPr>
        <w:t>。</w:t>
      </w:r>
    </w:p>
    <w:p w14:paraId="1473B538"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 w:bidi="ar-SA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 w:bidi="ar-SA"/>
        </w:rPr>
        <w:t>十一、县住建局牵头（8项）</w:t>
      </w:r>
    </w:p>
    <w:p w14:paraId="27FA5B84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63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开工建设284套经开区保障房；</w:t>
      </w:r>
    </w:p>
    <w:p w14:paraId="5B1E6EDE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64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完善永兴街、河东新区、雨露街及朝阳新区路网工程；</w:t>
      </w:r>
    </w:p>
    <w:p w14:paraId="3226D555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65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继续实施上党革命老区散煤清零项目，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加快乙二醇动力岛热源扩建和下良镇热源建设，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推进城东住户及周边镇村集中供热工程，新增集中供热面积210万平米、用户1.16万户；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（配合单位：襄矿集团）</w:t>
      </w:r>
    </w:p>
    <w:p w14:paraId="7C36F04F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66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接续实施换热站设备更新和老旧管网改造，逐步解决热源保障和管网末梢供热能力不足的问题，切实用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fldChar w:fldCharType="begin"/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instrText xml:space="preserve"> HYPERLINK "https://www.baidu.com/link?url=XivVnwFTjmMWmIN9s3VhwiB3QHOHwOFO1ZjQpbwnSaPwiNI4bZeYHH61ozZfHoialFQRnL9Z2jpjVJzCgaP8aa&amp;wd=&amp;eqid=db9a9e55002852810000000266234472" \t "https://www.baidu.com/_blank" </w:instrTex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fldChar w:fldCharType="separate"/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供暖热度提升民生温度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fldChar w:fldCharType="end"/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；</w:t>
      </w:r>
    </w:p>
    <w:p w14:paraId="27BBB70E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67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.改造提升老旧小区；</w:t>
      </w:r>
    </w:p>
    <w:p w14:paraId="68BC8D12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6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8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大力实施市民中心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val="en-US" w:eastAsia="zh-CN"/>
        </w:rPr>
        <w:t>周边环境整治；</w:t>
      </w:r>
    </w:p>
    <w:p w14:paraId="4FDA0BF8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16" w:firstLineChars="200"/>
        <w:textAlignment w:val="auto"/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val="en-US" w:eastAsia="zh-CN"/>
        </w:rPr>
        <w:t>69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val="en-US" w:eastAsia="zh-CN"/>
        </w:rPr>
        <w:t>. 新建观澜城商业综合体；</w:t>
      </w:r>
    </w:p>
    <w:p w14:paraId="1F9F0AEB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red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70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妥善做好房地产领域各类矛盾纠纷化解，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>严格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在建项目预售资金监管，督促房地产项目加快建设进度和工程验收，尽快完成商品房交付。</w:t>
      </w:r>
    </w:p>
    <w:p w14:paraId="79FD4DB1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十二、县交通局牵头（6项）</w:t>
      </w:r>
    </w:p>
    <w:p w14:paraId="6E821551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71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完成21个自然村通硬化路37.5公里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；</w:t>
      </w:r>
    </w:p>
    <w:p w14:paraId="5DB836A4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72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实施农村公路水毁修复工程；</w:t>
      </w:r>
    </w:p>
    <w:p w14:paraId="64A7D087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73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新建沿漳河西源王村—虒亭线等4条旅游公路；</w:t>
      </w:r>
    </w:p>
    <w:p w14:paraId="61563C0D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left="319" w:leftChars="145" w:firstLine="320" w:firstLineChars="1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74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启动侯堡、夏店2个镇级交通运输综合服务站建设；</w:t>
      </w:r>
    </w:p>
    <w:p w14:paraId="075AEA1E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75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开通9条镇村公交线路、5条客货邮公交线路，新增通公交建制村46个；</w:t>
      </w:r>
    </w:p>
    <w:p w14:paraId="0C27A3BB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76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  <w:t>新建经开区金钰道路、经五路、潞北三路等5条道路工程。</w:t>
      </w:r>
    </w:p>
    <w:p w14:paraId="0DC65D27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十三、县水利局牵头（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3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项）</w:t>
      </w:r>
    </w:p>
    <w:p w14:paraId="567D784C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>77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>. 认真落实河长制；</w:t>
      </w:r>
    </w:p>
    <w:p w14:paraId="31C0E471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>78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lang w:val="en-US" w:eastAsia="zh-CN"/>
        </w:rPr>
        <w:t>规划实施郭河、史水河</w:t>
      </w:r>
      <w:r>
        <w:rPr>
          <w:rFonts w:hint="eastAsia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lang w:val="en-US" w:eastAsia="zh-CN"/>
        </w:rPr>
        <w:t>、</w:t>
      </w:r>
      <w:r>
        <w:rPr>
          <w:rFonts w:hint="default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lang w:val="en-US" w:eastAsia="zh-CN"/>
        </w:rPr>
        <w:t>淤泥河等</w:t>
      </w:r>
      <w:r>
        <w:rPr>
          <w:rFonts w:hint="eastAsia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lang w:val="en-US" w:eastAsia="zh-CN"/>
        </w:rPr>
        <w:t>8</w:t>
      </w:r>
      <w:r>
        <w:rPr>
          <w:rFonts w:hint="default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lang w:val="en-US" w:eastAsia="zh-CN"/>
        </w:rPr>
        <w:t>个防洪能力提升工程</w:t>
      </w:r>
      <w:r>
        <w:rPr>
          <w:rFonts w:hint="eastAsia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lang w:val="en-US" w:eastAsia="zh-CN"/>
        </w:rPr>
        <w:t>；</w:t>
      </w:r>
    </w:p>
    <w:p w14:paraId="004127CD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79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. 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完成农村供水维修养护工程18处，受益3.5万人。</w:t>
      </w:r>
    </w:p>
    <w:p w14:paraId="2E0DF4F9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十四、县农业农村局牵头（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9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项）</w:t>
      </w:r>
    </w:p>
    <w:p w14:paraId="384F2AAB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80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. 农村居民人均可支配收入高于经济增长水平；</w:t>
      </w:r>
    </w:p>
    <w:p w14:paraId="5C6F7A25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81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学习运用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千万工程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经验，建设宜居宜业和美乡村，在太行一号旅游公路、百里漳河沿线、环宝峰湖特色文旅产业带周边，分类布局、重点打造15个精品示范村、49个提档升级村、12个环境整治村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；</w:t>
      </w:r>
    </w:p>
    <w:p w14:paraId="177B48EC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82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做好1万亩大豆玉米带状复合、7000亩油料作物等种植工作；</w:t>
      </w:r>
    </w:p>
    <w:p w14:paraId="768BEA63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83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粮食产量保持在2.68亿斤以上；</w:t>
      </w:r>
    </w:p>
    <w:p w14:paraId="2686747B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84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大力发展节能节本、高产高效新型现代设施农业，打造极星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智慧农业+综合能源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现代农业示范园；</w:t>
      </w:r>
    </w:p>
    <w:p w14:paraId="1EDD1826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85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加快畜牧业高效集约发展，实施小巨人550万只肉鸡智能养殖、晋丰8000头种猪等28个特优养殖项目，力争肉禽规模跨入全省前列，生猪规模迈进全省第一方阵；</w:t>
      </w:r>
    </w:p>
    <w:p w14:paraId="52DD84FC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86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积极培育农产品精深加工产业，加快络清元杂粮饮料加工项目建设，推动杂粮、谷物等农产品就地加工转化，打造具有本地特色的高档营养食品；</w:t>
      </w:r>
    </w:p>
    <w:p w14:paraId="758FB8E0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87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统筹用好乡村振兴资金，撬动民间投资，集中实施农村人居环境综合整治、畜禽粪污资源化利用整县推进等一批综合效益好、群众受惠多的重点项目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；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（配合单位：县乡村振兴发展中心）</w:t>
      </w:r>
    </w:p>
    <w:p w14:paraId="7D3CB258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楷体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88</w:t>
      </w:r>
      <w:r>
        <w:rPr>
          <w:rFonts w:hint="default" w:ascii="Times New Roman" w:hAnsi="Times New Roman" w:eastAsia="楷体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持续发展壮大村集体经济，力争村集体经济收入30万元以上村达到80%，经营性收入占比达到70%以上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。</w:t>
      </w:r>
      <w:r>
        <w:rPr>
          <w:rFonts w:hint="eastAsia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（配合单位：县现代农业发展中心）</w:t>
      </w:r>
    </w:p>
    <w:p w14:paraId="33D6C231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十五、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县林业局牵头（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2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项）</w:t>
      </w:r>
    </w:p>
    <w:p w14:paraId="7A9C6FDD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 xml:space="preserve">89. 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>认真落实林长制；</w:t>
      </w:r>
    </w:p>
    <w:p w14:paraId="24DA5744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-6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>90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shd w:val="clear" w:color="auto" w:fill="FFFFFF"/>
          <w:lang w:val="en-US" w:eastAsia="zh-CN"/>
        </w:rPr>
        <w:t>完成人工造林3万亩，封山育林2万亩，退化林修复5000亩，打造</w:t>
      </w:r>
      <w:r>
        <w:rPr>
          <w:rFonts w:hint="eastAsia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shd w:val="clear" w:color="auto" w:fill="FFFFFF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shd w:val="clear" w:color="auto" w:fill="FFFFFF"/>
          <w:lang w:val="en-US" w:eastAsia="zh-CN"/>
        </w:rPr>
        <w:t>百里漳江美丽画廊</w:t>
      </w:r>
      <w:r>
        <w:rPr>
          <w:rFonts w:hint="eastAsia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shd w:val="clear" w:color="auto" w:fill="FFFFFF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shd w:val="clear" w:color="auto" w:fill="FFFFFF"/>
          <w:lang w:val="en-US" w:eastAsia="zh-CN"/>
        </w:rPr>
        <w:t>，厚植绿色襄垣生态底色。</w:t>
      </w:r>
    </w:p>
    <w:p w14:paraId="338788B6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十六、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县文旅局牵头（12项）</w:t>
      </w:r>
    </w:p>
    <w:p w14:paraId="1EB1677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64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lang w:val="en-US" w:eastAsia="zh-CN"/>
        </w:rPr>
        <w:t xml:space="preserve">91. </w:t>
      </w:r>
      <w:r>
        <w:rPr>
          <w:rFonts w:hint="default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lang w:val="en-US" w:eastAsia="zh-CN"/>
        </w:rPr>
        <w:t>持续开展省级全域旅游示范区创建，高标准编制全域旅游总体规划，大力推动</w:t>
      </w:r>
      <w:r>
        <w:rPr>
          <w:rFonts w:hint="eastAsia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lang w:val="en-US" w:eastAsia="zh-CN"/>
        </w:rPr>
        <w:t>文旅+</w:t>
      </w:r>
      <w:r>
        <w:rPr>
          <w:rFonts w:hint="eastAsia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lang w:val="en-US" w:eastAsia="zh-CN"/>
        </w:rPr>
        <w:t>产业发展；</w:t>
      </w:r>
    </w:p>
    <w:p w14:paraId="48B1C78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16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val="en-US" w:eastAsia="zh-CN"/>
        </w:rPr>
        <w:t xml:space="preserve">92. 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val="en-US" w:eastAsia="zh-CN"/>
        </w:rPr>
        <w:t>改造升级仙堂山旅游景区，布设犀牛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望月、东峰平台等网红打卡点，精心创建以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w w:val="100"/>
          <w:sz w:val="32"/>
          <w:szCs w:val="32"/>
          <w:highlight w:val="none"/>
          <w:u w:val="none" w:color="auto"/>
          <w:lang w:val="en-US" w:eastAsia="zh-CN"/>
        </w:rPr>
        <w:t>沉浸式·仙文化森林公园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为主题的龙头景区，打造旅游热点门户；</w:t>
      </w:r>
    </w:p>
    <w:p w14:paraId="5FC359F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93.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挖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val="en-US" w:eastAsia="zh-CN"/>
        </w:rPr>
        <w:t>掘千年古县历史文脉，整合开发老物件博物馆、上寺街、文庙、城隍庙等人文资源，在市民中心周边布展3—5处主题鲜明的类博物馆，打造开放式、低密度、可游玩的特色文化商业街区；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-6"/>
          <w:sz w:val="32"/>
          <w:szCs w:val="32"/>
          <w:highlight w:val="none"/>
          <w:lang w:val="en-US" w:eastAsia="zh-CN"/>
        </w:rPr>
        <w:t>（配合单位：县直属机关事务服务中心，古韩镇政府）</w:t>
      </w:r>
    </w:p>
    <w:p w14:paraId="1D2C674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94.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大力发展乡村旅游，完善宝峰湖文旅提升项目，开发东北阳漳江</w:t>
      </w:r>
      <w:r>
        <w:rPr>
          <w:rFonts w:hint="default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lang w:val="en-US" w:eastAsia="zh-CN"/>
        </w:rPr>
        <w:t>春渡、上良特色民俗等文旅资源，规划设计短途游精品线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路；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（配合单位：下良镇政府</w:t>
      </w:r>
      <w:r>
        <w:rPr>
          <w:rFonts w:hint="eastAsia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，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县融媒集团）</w:t>
      </w:r>
    </w:p>
    <w:p w14:paraId="7EC7691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16" w:firstLineChars="200"/>
        <w:jc w:val="both"/>
        <w:textAlignment w:val="auto"/>
        <w:rPr>
          <w:rFonts w:hint="default" w:ascii="Times New Roman" w:hAnsi="Times New Roman" w:eastAsia="仿宋_GB2312" w:cs="Times New Roman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pacing w:val="-6"/>
          <w:sz w:val="32"/>
          <w:szCs w:val="32"/>
          <w:highlight w:val="none"/>
          <w:lang w:val="en-US" w:eastAsia="zh-CN"/>
        </w:rPr>
        <w:t xml:space="preserve">95. </w:t>
      </w:r>
      <w:r>
        <w:rPr>
          <w:rFonts w:hint="default" w:ascii="Times New Roman" w:hAnsi="Times New Roman" w:eastAsia="仿宋_GB2312" w:cs="Times New Roman"/>
          <w:spacing w:val="-6"/>
          <w:sz w:val="32"/>
          <w:szCs w:val="32"/>
          <w:highlight w:val="none"/>
          <w:lang w:val="en-US" w:eastAsia="zh-CN"/>
        </w:rPr>
        <w:t>着力发展文创产业，推出</w:t>
      </w:r>
      <w:r>
        <w:rPr>
          <w:rFonts w:hint="eastAsia" w:ascii="Times New Roman" w:hAnsi="Times New Roman" w:eastAsia="仿宋_GB2312" w:cs="Times New Roman"/>
          <w:spacing w:val="-6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spacing w:val="-6"/>
          <w:sz w:val="32"/>
          <w:szCs w:val="32"/>
          <w:highlight w:val="none"/>
          <w:lang w:val="en-US" w:eastAsia="zh-CN"/>
        </w:rPr>
        <w:t>这襄有礼</w:t>
      </w:r>
      <w:r>
        <w:rPr>
          <w:rFonts w:hint="eastAsia" w:ascii="Times New Roman" w:hAnsi="Times New Roman" w:eastAsia="仿宋_GB2312" w:cs="Times New Roman"/>
          <w:spacing w:val="-6"/>
          <w:sz w:val="32"/>
          <w:szCs w:val="32"/>
          <w:highlight w:val="none"/>
          <w:lang w:val="en-US" w:eastAsia="zh-CN"/>
        </w:rPr>
        <w:t>”“</w:t>
      </w:r>
      <w:r>
        <w:rPr>
          <w:rFonts w:hint="default" w:ascii="Times New Roman" w:hAnsi="Times New Roman" w:eastAsia="仿宋_GB2312" w:cs="Times New Roman"/>
          <w:spacing w:val="-6"/>
          <w:sz w:val="32"/>
          <w:szCs w:val="32"/>
          <w:highlight w:val="none"/>
          <w:lang w:val="en-US" w:eastAsia="zh-CN"/>
        </w:rPr>
        <w:t>以礼襄待</w:t>
      </w:r>
      <w:r>
        <w:rPr>
          <w:rFonts w:hint="eastAsia" w:ascii="Times New Roman" w:hAnsi="Times New Roman" w:eastAsia="仿宋_GB2312" w:cs="Times New Roman"/>
          <w:spacing w:val="-6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spacing w:val="-6"/>
          <w:sz w:val="32"/>
          <w:szCs w:val="32"/>
          <w:highlight w:val="none"/>
          <w:lang w:val="en-US" w:eastAsia="zh-CN"/>
        </w:rPr>
        <w:t>等文创产品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highlight w:val="none"/>
          <w:lang w:val="en-US" w:eastAsia="zh-CN"/>
        </w:rPr>
        <w:t>；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（配合单位：县融媒集团）</w:t>
      </w:r>
    </w:p>
    <w:p w14:paraId="20F9509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96.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继续推出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50元游襄垣·文旅惠民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活动；</w:t>
      </w:r>
    </w:p>
    <w:p w14:paraId="3C28CD7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97.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推进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襄遇·栖居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湖畔生态民宿正式运营，鼓励群众积极开展特色民宿、精品农家乐、农果采摘等经营活动，在丰富延展旅游业态的同时，实现增收致富；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（配合单位：县融媒集团）</w:t>
      </w:r>
    </w:p>
    <w:p w14:paraId="5CAD904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楷体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98.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推进旅游休闲城市建设，一体开发东湖周边休闲消费资源，增加夜间旅游特色，丰富美食文化、潮玩街区、灯光水秀、民俗演绎等消费内容，打造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过境想留宿、打卡想消费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的客群集聚地；</w:t>
      </w:r>
    </w:p>
    <w:p w14:paraId="008FDCB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99.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新建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市民中心公益文体活动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场所；</w:t>
      </w:r>
    </w:p>
    <w:p w14:paraId="7C91B10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100.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抓好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第四次全国文物普查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；</w:t>
      </w:r>
    </w:p>
    <w:p w14:paraId="70FDB19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101.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推进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文庙活化利用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实施仓上三教庙修缮等文物保护利用工程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；</w:t>
      </w:r>
    </w:p>
    <w:p w14:paraId="7FBF200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11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2.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11"/>
          <w:sz w:val="32"/>
          <w:szCs w:val="32"/>
          <w:highlight w:val="none"/>
          <w:u w:val="none" w:color="auto"/>
          <w:lang w:eastAsia="zh-CN"/>
        </w:rPr>
        <w:t>继续开展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11"/>
          <w:sz w:val="32"/>
          <w:szCs w:val="32"/>
          <w:highlight w:val="none"/>
          <w:u w:val="none" w:color="auto"/>
          <w:lang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11"/>
          <w:sz w:val="32"/>
          <w:szCs w:val="32"/>
          <w:highlight w:val="none"/>
          <w:u w:val="none" w:color="auto"/>
          <w:lang w:eastAsia="zh-CN"/>
        </w:rPr>
        <w:t>送戏下乡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11"/>
          <w:sz w:val="32"/>
          <w:szCs w:val="32"/>
          <w:highlight w:val="none"/>
          <w:u w:val="none" w:color="auto"/>
          <w:lang w:eastAsia="zh-CN"/>
        </w:rPr>
        <w:t>”“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11"/>
          <w:sz w:val="32"/>
          <w:szCs w:val="32"/>
          <w:highlight w:val="none"/>
          <w:u w:val="none" w:color="auto"/>
          <w:lang w:eastAsia="zh-CN"/>
        </w:rPr>
        <w:t>送电影下乡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11"/>
          <w:sz w:val="32"/>
          <w:szCs w:val="32"/>
          <w:highlight w:val="none"/>
          <w:u w:val="none" w:color="auto"/>
          <w:lang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11"/>
          <w:sz w:val="32"/>
          <w:szCs w:val="32"/>
          <w:highlight w:val="none"/>
          <w:u w:val="none" w:color="auto"/>
          <w:lang w:eastAsia="zh-CN"/>
        </w:rPr>
        <w:t>等文化惠民活动。</w:t>
      </w:r>
    </w:p>
    <w:p w14:paraId="10D1460E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十七、县卫体局牵头（8项）</w:t>
      </w:r>
    </w:p>
    <w:p w14:paraId="7B380B5E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03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加大普惠托育支持力度，加快推进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公办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综合托育中心建设；</w:t>
      </w:r>
    </w:p>
    <w:p w14:paraId="628328BC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104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</w:rPr>
        <w:t>全力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推进国家慢性病综合防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控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示范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省级健康县创建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工作；</w:t>
      </w:r>
    </w:p>
    <w:p w14:paraId="632C1A46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105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实施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中医药传承创新发展示范试点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建设冯五金、庞国明全国名中医工作室；</w:t>
      </w:r>
    </w:p>
    <w:p w14:paraId="48241151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106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持续深化县域医疗卫生一体化改革，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推行县医院科室与镇卫生院结对帮扶包保机制；</w:t>
      </w:r>
    </w:p>
    <w:p w14:paraId="4F2B154F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107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推进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西营卫生院县域医疗次中心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建设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；</w:t>
      </w:r>
    </w:p>
    <w:p w14:paraId="2B22D5A8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108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新建侯堡中心卫生院；</w:t>
      </w:r>
    </w:p>
    <w:p w14:paraId="6BBCEB74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109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抓住与北京清华长庚、中医药大学东直门医院对口合作，</w:t>
      </w:r>
      <w:r>
        <w:rPr>
          <w:rFonts w:hint="default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lang w:val="en-US" w:eastAsia="zh-CN"/>
        </w:rPr>
        <w:t>以及市人民医院专家支援帮扶等有利契机，推动县人民医院医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疗水平提档升级，同时加快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朝阳院区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建设进度，力争年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底投入使用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确保通过三级医院医疗服务能力建设验收；</w:t>
      </w:r>
    </w:p>
    <w:p w14:paraId="7A262E92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110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继续实施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适龄妇女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两癌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lang w:eastAsia="zh-CN"/>
        </w:rPr>
        <w:t>筛查，</w:t>
      </w:r>
      <w:r>
        <w:rPr>
          <w:rFonts w:hint="default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lang w:val="en-US" w:eastAsia="zh-CN"/>
        </w:rPr>
        <w:t>在全省率先实现</w:t>
      </w:r>
      <w:r>
        <w:rPr>
          <w:rFonts w:hint="default" w:ascii="Times New Roman" w:hAnsi="Times New Roman" w:eastAsia="仿宋_GB2312" w:cs="Times New Roman"/>
          <w:color w:val="auto"/>
          <w:spacing w:val="6"/>
          <w:sz w:val="32"/>
          <w:szCs w:val="32"/>
          <w:highlight w:val="none"/>
        </w:rPr>
        <w:t>适龄女孩HPV疫苗免费接种</w:t>
      </w:r>
      <w:r>
        <w:rPr>
          <w:rFonts w:hint="default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lang w:val="en-US" w:eastAsia="zh-CN"/>
        </w:rPr>
        <w:t>全覆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盖，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切实守护好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妇女儿童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的身体健康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。</w:t>
      </w:r>
    </w:p>
    <w:p w14:paraId="51594DD8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十八、县应急局牵头（3项）</w:t>
      </w:r>
    </w:p>
    <w:p w14:paraId="243E89EA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  <w:lang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111</w:t>
      </w:r>
      <w:r>
        <w:rPr>
          <w:rFonts w:hint="default" w:ascii="Times New Roman" w:hAnsi="Times New Roman" w:eastAsia="黑体" w:cs="Times New Roman"/>
          <w:b w:val="0"/>
          <w:bCs w:val="0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shd w:val="clear" w:color="auto" w:fill="FFFFFF"/>
        </w:rPr>
        <w:t>坚决贯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shd w:val="clear" w:color="auto" w:fill="FFFFFF"/>
        </w:rPr>
        <w:t>彻国务院安委会《防范遏制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</w:rPr>
        <w:t>矿山领域重特大生产安全事故的硬措施》文件要求，强化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  <w:lang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</w:rPr>
        <w:t>四不两直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  <w:lang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</w:rPr>
        <w:t>安全巡查和专项检查，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用好专家会诊制度，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</w:rPr>
        <w:t>压实企业主体责任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  <w:lang w:eastAsia="zh-CN"/>
        </w:rPr>
        <w:t>；</w:t>
      </w:r>
    </w:p>
    <w:p w14:paraId="67FBC33F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11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2. 抓好安全生产治本攻坚三年行动和安全生产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十件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实事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shd w:val="clear" w:color="auto" w:fill="FFFFFF"/>
        </w:rPr>
        <w:t>，聚焦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煤矿、危化、非煤矿山、燃气等重点领域，常态化开展隐患排查整治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eastAsia="zh-CN"/>
        </w:rPr>
        <w:t>；</w:t>
      </w:r>
    </w:p>
    <w:p w14:paraId="5C369A1C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>11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 xml:space="preserve">3. 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督促企业加大安全生产投入，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>抓好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安全标准化建设，不断提升本质安全水平。</w:t>
      </w:r>
    </w:p>
    <w:p w14:paraId="170C7BB7"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十九、县国资局牵头（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5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项）</w:t>
      </w:r>
    </w:p>
    <w:p w14:paraId="0C1A23EB"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114.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实施国有企业改革深化提升行动，推进县属国有企业整合重组、有序进退、提质增效；</w:t>
      </w:r>
    </w:p>
    <w:p w14:paraId="2CC8069C"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115.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健全以管资本为主的国资监管体制，强化以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一利五率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为导向的差异化考核；</w:t>
      </w:r>
    </w:p>
    <w:p w14:paraId="71A1769C"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116.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深入开展亏损企业治理专项行动，推进襄粮兴购销公司、古韩粮站、粮油加工厂兼并重组；</w:t>
      </w:r>
    </w:p>
    <w:p w14:paraId="73AF110E"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117.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支持襄矿集团与大型央企开展战略合作，深度参与能源消纳体系建设，推动泓通煤化工项目技术工艺改造，做好企业负债化解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；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（配合单位：县能源局）</w:t>
      </w:r>
    </w:p>
    <w:p w14:paraId="617AAF34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楷体_GB2312" w:cs="Times New Roman"/>
          <w:b w:val="0"/>
          <w:bCs w:val="0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118</w:t>
      </w:r>
      <w:r>
        <w:rPr>
          <w:rFonts w:hint="default" w:ascii="Times New Roman" w:hAnsi="Times New Roman" w:eastAsia="楷体_GB2312" w:cs="Times New Roman"/>
          <w:b w:val="0"/>
          <w:bCs w:val="0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完成12.1公里城区老旧供水管网改造，启动城乡供水一体化项目建设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。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（配合单位：县住建局，县水务集团）</w:t>
      </w:r>
    </w:p>
    <w:p w14:paraId="47BFDDC5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二十、县市场监管局牵头（1项）</w:t>
      </w:r>
    </w:p>
    <w:p w14:paraId="18406780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1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19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开展公平竞争问题专项清理行动，保障民营企业依法平等使用生产要素、参与市场竞争。</w:t>
      </w:r>
    </w:p>
    <w:p w14:paraId="024C33DA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二十一、县医保局牵头（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2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项）</w:t>
      </w:r>
    </w:p>
    <w:p w14:paraId="224D61E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64" w:firstLineChars="200"/>
        <w:textAlignment w:val="auto"/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bCs/>
          <w:color w:val="auto"/>
          <w:spacing w:val="6"/>
          <w:sz w:val="32"/>
          <w:szCs w:val="32"/>
          <w:highlight w:val="none"/>
          <w:lang w:val="en-US" w:eastAsia="zh-CN"/>
        </w:rPr>
        <w:t xml:space="preserve">120. </w:t>
      </w:r>
      <w:r>
        <w:rPr>
          <w:rFonts w:hint="default" w:ascii="Times New Roman" w:hAnsi="Times New Roman" w:eastAsia="仿宋_GB2312" w:cs="Times New Roman"/>
          <w:bCs/>
          <w:color w:val="auto"/>
          <w:spacing w:val="6"/>
          <w:sz w:val="32"/>
          <w:szCs w:val="32"/>
          <w:highlight w:val="none"/>
          <w:lang w:val="en-US" w:eastAsia="zh-CN"/>
        </w:rPr>
        <w:t>加强医保基金跨部门综合监管，严厉打击欺诈骗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>保、</w:t>
      </w:r>
      <w:r>
        <w:rPr>
          <w:rFonts w:hint="default" w:ascii="Times New Roman" w:hAnsi="Times New Roman" w:eastAsia="仿宋_GB2312" w:cs="Times New Roman"/>
          <w:bCs/>
          <w:color w:val="auto"/>
          <w:spacing w:val="-6"/>
          <w:sz w:val="32"/>
          <w:szCs w:val="32"/>
          <w:highlight w:val="none"/>
          <w:lang w:val="en-US" w:eastAsia="zh-CN"/>
        </w:rPr>
        <w:t>套保和挪用贪占等违法行为，守牢医保基金安全底线</w:t>
      </w:r>
      <w:r>
        <w:rPr>
          <w:rFonts w:hint="eastAsia" w:ascii="Times New Roman" w:hAnsi="Times New Roman" w:eastAsia="仿宋_GB2312" w:cs="Times New Roman"/>
          <w:bCs/>
          <w:color w:val="auto"/>
          <w:spacing w:val="-6"/>
          <w:sz w:val="32"/>
          <w:szCs w:val="32"/>
          <w:highlight w:val="none"/>
          <w:lang w:val="en-US" w:eastAsia="zh-CN"/>
        </w:rPr>
        <w:t>；</w:t>
      </w:r>
    </w:p>
    <w:p w14:paraId="6F2081B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16" w:firstLineChars="200"/>
        <w:textAlignment w:val="auto"/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bCs/>
          <w:color w:val="auto"/>
          <w:spacing w:val="-6"/>
          <w:sz w:val="32"/>
          <w:szCs w:val="32"/>
          <w:highlight w:val="none"/>
          <w:lang w:val="en-US" w:eastAsia="zh-CN"/>
        </w:rPr>
        <w:t xml:space="preserve">121.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认真落实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医疗救助、大病保险保障扶持措施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。</w:t>
      </w:r>
    </w:p>
    <w:p w14:paraId="17307812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二十二、县行政审批局牵头（4项）</w:t>
      </w:r>
    </w:p>
    <w:p w14:paraId="5F4251B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122.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以提升经营主体获得感为出发点，深入开展营商环境创新提升行动；</w:t>
      </w:r>
    </w:p>
    <w:p w14:paraId="0513572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123.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加强涉企政策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一站式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综合服务平台宣传推广，实施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惠企直通车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行动，确保惠企政策应上尽上、应兑尽兑、直达快享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；</w:t>
      </w:r>
    </w:p>
    <w:p w14:paraId="33688B3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124.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积极推进政务服务提升，设立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无差别受理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”“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办不成事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等窗口，推动自助政务超市乡镇全覆盖，把更多政务服务以自助办、视频办的方式延伸至企业和群众身边；</w:t>
      </w:r>
    </w:p>
    <w:p w14:paraId="68B7540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125.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大力推行民营企业评价营商环境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红黑榜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，真正让经营主体参与政商关系监督。</w:t>
      </w:r>
    </w:p>
    <w:p w14:paraId="60BC43B8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二十三、县信访局牵头（1项）</w:t>
      </w:r>
    </w:p>
    <w:p w14:paraId="51E6051C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 xml:space="preserve">126. 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坚持和发展新时代</w:t>
      </w:r>
      <w:r>
        <w:rPr>
          <w:rFonts w:hint="eastAsia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eastAsia="zh-CN"/>
        </w:rPr>
        <w:t>“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枫桥经验</w:t>
      </w:r>
      <w:r>
        <w:rPr>
          <w:rFonts w:hint="eastAsia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eastAsia="zh-CN"/>
        </w:rPr>
        <w:t>”“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浦江经验</w:t>
      </w:r>
      <w:r>
        <w:rPr>
          <w:rFonts w:hint="eastAsia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eastAsia="zh-CN"/>
        </w:rPr>
        <w:t>”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，深入推进信访积案和突出问题化解，依法处理缠访、闹访、越级上访等违法信访行为。</w:t>
      </w:r>
    </w:p>
    <w:p w14:paraId="1A4D9704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二十四、县能源局牵头（1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2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项）</w:t>
      </w:r>
    </w:p>
    <w:p w14:paraId="4D7AE2E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127.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加快华润煤业120万吨技改、新庄煤业3号煤层开采等项目建设；</w:t>
      </w:r>
    </w:p>
    <w:p w14:paraId="7B14AA85"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spacing w:before="0" w:beforeAutospacing="0" w:after="0" w:afterAutospacing="0" w:line="576" w:lineRule="exact"/>
        <w:ind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8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11"/>
          <w:sz w:val="32"/>
          <w:szCs w:val="32"/>
          <w:highlight w:val="none"/>
          <w:lang w:val="en-US" w:eastAsia="zh-CN"/>
        </w:rPr>
        <w:t>鼓励晋平、辉坡、新发煤业推广使用绿色充填开采技术；</w:t>
      </w:r>
    </w:p>
    <w:p w14:paraId="69F4A023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129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 实施西故县15号煤水平延伸等7个技改项目，确保先进产能占比达到85%以上，确保县属煤矿产量稳定在1000万吨以上；</w:t>
      </w:r>
    </w:p>
    <w:p w14:paraId="53D2581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130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 加快煤矿瓦斯清洁高效利用，年内建成五阳煤矿南岭风井、上庄煤业低浓度瓦斯发电项目；</w:t>
      </w:r>
    </w:p>
    <w:p w14:paraId="5C00506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131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 有序开发光伏风电资源，确保上马风光储一体化机组全部并网，新建国华绿电、中天锂电池等光伏发电项目，力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争新能源和清洁能源装机容量达到492MW，占比超过40%；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（配合单位：经开区管委会</w:t>
      </w:r>
      <w:r>
        <w:rPr>
          <w:rFonts w:hint="eastAsia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，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襄矿集团）</w:t>
      </w:r>
    </w:p>
    <w:p w14:paraId="2EA6A00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spacing w:beforeAutospacing="0" w:after="0" w:afterAutospacing="0" w:line="576" w:lineRule="exact"/>
        <w:ind w:firstLine="616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132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科学布局新型储能，加快推进襄矿售电公司锂离子电池+超级电容混合储能试点示范、魏腾独立储能等项目建设，重点支持襄矿中烨新能源产业园、康富国际和江苏天合2个共享储能电站项目落地开工，规划发展550MW的新型储能规模；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（配合单位：经开区管委会</w:t>
      </w:r>
      <w:r>
        <w:rPr>
          <w:rFonts w:hint="eastAsia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，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襄矿集团）</w:t>
      </w:r>
    </w:p>
    <w:p w14:paraId="64D59DC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133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 持续完善经开区增量配电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  <w:t>网基础设施建设，新建王桥、太平2个220kV输变电项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目，负荷端再新增一批增量配电业务企业；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（配合单位：经开区管委会</w:t>
      </w:r>
      <w:r>
        <w:rPr>
          <w:rFonts w:hint="eastAsia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，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襄矿集团）</w:t>
      </w:r>
    </w:p>
    <w:p w14:paraId="43C5B88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134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 加快绿色电力供应，积极推进中能建50MW光伏、襄矿30MW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分布式光伏建成并网；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（配合单位：经开区管委会</w:t>
      </w:r>
      <w:r>
        <w:rPr>
          <w:rFonts w:hint="eastAsia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，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襄矿集团）</w:t>
      </w:r>
    </w:p>
    <w:p w14:paraId="17C228A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spacing w:beforeAutospacing="0" w:after="0" w:afterAutospacing="0" w:line="576" w:lineRule="exact"/>
        <w:ind w:firstLine="616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135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. 同步建设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虚拟电厂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运营管理平台，争取11月底源网荷储一期项目实现闭环运行，逐步打造安全高效、稳定可靠的新能源消纳体系和用能洼地；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（配合单位：经开区管委会</w:t>
      </w:r>
      <w:r>
        <w:rPr>
          <w:rFonts w:hint="eastAsia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，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襄矿集团）</w:t>
      </w:r>
    </w:p>
    <w:p w14:paraId="199D695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楷体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Times New Roman" w:hAnsi="Times New Roman" w:eastAsia="楷体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36</w:t>
      </w:r>
      <w:r>
        <w:rPr>
          <w:rFonts w:hint="default" w:ascii="Times New Roman" w:hAnsi="Times New Roman" w:eastAsia="楷体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加快推动煤矿、化工等重点行业数字化转型，推进上庄煤业、大平煤业等4座矿井智能化改造；</w:t>
      </w:r>
    </w:p>
    <w:p w14:paraId="46D2CEC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37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着力提升公共充电设施覆盖水平，新增充换电桩300个；</w:t>
      </w:r>
    </w:p>
    <w:p w14:paraId="0AAE41B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38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加强项目节能审查，推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>动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能耗双控逐步向碳排放双控转变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。</w:t>
      </w:r>
    </w:p>
    <w:p w14:paraId="420C0858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二十五、市生态环境局襄垣分局牵头（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8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项）</w:t>
      </w:r>
    </w:p>
    <w:p w14:paraId="7853E082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kern w:val="36"/>
          <w:sz w:val="32"/>
          <w:szCs w:val="32"/>
          <w:highlight w:val="none"/>
          <w:shd w:val="clear" w:color="auto" w:fill="FFFFFF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kern w:val="36"/>
          <w:sz w:val="32"/>
          <w:szCs w:val="32"/>
          <w:highlight w:val="none"/>
          <w:shd w:val="clear" w:color="auto" w:fill="FFFFFF"/>
          <w:lang w:val="en-US" w:eastAsia="zh-CN"/>
        </w:rPr>
        <w:t xml:space="preserve">139. </w:t>
      </w:r>
      <w:r>
        <w:rPr>
          <w:rFonts w:hint="default" w:ascii="Times New Roman" w:hAnsi="Times New Roman" w:eastAsia="仿宋_GB2312" w:cs="Times New Roman"/>
          <w:color w:val="auto"/>
          <w:spacing w:val="0"/>
          <w:kern w:val="36"/>
          <w:sz w:val="32"/>
          <w:szCs w:val="32"/>
          <w:highlight w:val="none"/>
          <w:shd w:val="clear" w:color="auto" w:fill="FFFFFF"/>
        </w:rPr>
        <w:t>持续推进中央和</w:t>
      </w:r>
      <w:r>
        <w:rPr>
          <w:rFonts w:hint="default" w:ascii="Times New Roman" w:hAnsi="Times New Roman" w:eastAsia="仿宋_GB2312" w:cs="Times New Roman"/>
          <w:color w:val="auto"/>
          <w:spacing w:val="0"/>
          <w:kern w:val="36"/>
          <w:sz w:val="32"/>
          <w:szCs w:val="32"/>
          <w:highlight w:val="none"/>
          <w:shd w:val="clear" w:color="auto" w:fill="FFFFFF"/>
          <w:lang w:val="en-US" w:eastAsia="zh-CN"/>
        </w:rPr>
        <w:t>省级生态</w:t>
      </w:r>
      <w:r>
        <w:rPr>
          <w:rFonts w:hint="default" w:ascii="Times New Roman" w:hAnsi="Times New Roman" w:eastAsia="仿宋_GB2312" w:cs="Times New Roman"/>
          <w:color w:val="auto"/>
          <w:spacing w:val="0"/>
          <w:kern w:val="36"/>
          <w:sz w:val="32"/>
          <w:szCs w:val="32"/>
          <w:highlight w:val="none"/>
          <w:shd w:val="clear" w:color="auto" w:fill="FFFFFF"/>
        </w:rPr>
        <w:t>环保督察反馈问题整改</w:t>
      </w:r>
      <w:r>
        <w:rPr>
          <w:rFonts w:hint="default" w:ascii="Times New Roman" w:hAnsi="Times New Roman" w:eastAsia="仿宋_GB2312" w:cs="Times New Roman"/>
          <w:color w:val="auto"/>
          <w:spacing w:val="0"/>
          <w:kern w:val="36"/>
          <w:sz w:val="32"/>
          <w:szCs w:val="32"/>
          <w:highlight w:val="none"/>
          <w:shd w:val="clear" w:color="auto" w:fill="FFFFFF"/>
          <w:lang w:eastAsia="zh-CN"/>
        </w:rPr>
        <w:t>；</w:t>
      </w:r>
    </w:p>
    <w:p w14:paraId="3176AE43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140.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大力开展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秋冬防、臭氧污染防治等专项行动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；</w:t>
      </w:r>
    </w:p>
    <w:p w14:paraId="55E4A319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141.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实施五阳热电等11个生态环保设施升级改造项目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  <w:t>；</w:t>
      </w:r>
    </w:p>
    <w:p w14:paraId="04F80595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142.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建设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湿地修复甘村控制单元水质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提升项目；</w:t>
      </w:r>
    </w:p>
    <w:p w14:paraId="48E7D004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143.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分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</w:rPr>
        <w:t>批实施农村污水治理，推进县城周边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eastAsia="zh-CN"/>
        </w:rPr>
        <w:t>及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</w:rPr>
        <w:t>沿河行政村污水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eastAsia="zh-CN"/>
        </w:rPr>
        <w:t>处理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</w:rPr>
        <w:t>设施全覆盖，确保3个国省考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eastAsia="zh-CN"/>
        </w:rPr>
        <w:t>监测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</w:rPr>
        <w:t>断面水质稳定达标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eastAsia="zh-CN"/>
        </w:rPr>
        <w:t>；</w:t>
      </w:r>
    </w:p>
    <w:p w14:paraId="0E50E993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144.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严格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土壤污染监管，做好煤矸石、粉煤灰等固体废物无害化处理，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扎实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</w:rPr>
        <w:t>推进无废城市建设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eastAsia="zh-CN"/>
        </w:rPr>
        <w:t>；</w:t>
      </w:r>
    </w:p>
    <w:p w14:paraId="7BE50841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145.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完善浊漳南源、淤泥河水环境提升综合整治项目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eastAsia="zh-CN"/>
        </w:rPr>
        <w:t>；</w:t>
      </w:r>
    </w:p>
    <w:p w14:paraId="30A4E5B7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auto"/>
          <w:spacing w:val="6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 xml:space="preserve">146. 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加快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>重点企业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清洁运输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>替代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，力争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>含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铁路运输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>企业替代比例达到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80%</w:t>
      </w:r>
      <w:r>
        <w:rPr>
          <w:rFonts w:hint="default" w:ascii="Times New Roman" w:hAnsi="Times New Roman" w:eastAsia="仿宋_GB2312" w:cs="Times New Roman"/>
          <w:bCs/>
          <w:color w:val="auto"/>
          <w:spacing w:val="6"/>
          <w:sz w:val="32"/>
          <w:szCs w:val="32"/>
          <w:highlight w:val="none"/>
        </w:rPr>
        <w:t>以上</w:t>
      </w:r>
      <w:r>
        <w:rPr>
          <w:rFonts w:hint="default" w:ascii="Times New Roman" w:hAnsi="Times New Roman" w:eastAsia="仿宋_GB2312" w:cs="Times New Roman"/>
          <w:bCs/>
          <w:color w:val="auto"/>
          <w:spacing w:val="6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bCs/>
          <w:color w:val="auto"/>
          <w:spacing w:val="6"/>
          <w:sz w:val="32"/>
          <w:szCs w:val="32"/>
          <w:highlight w:val="none"/>
          <w:lang w:val="en-US" w:eastAsia="zh-CN"/>
        </w:rPr>
        <w:t>其他企业达到50%以上</w:t>
      </w:r>
      <w:r>
        <w:rPr>
          <w:rFonts w:hint="eastAsia" w:ascii="Times New Roman" w:hAnsi="Times New Roman" w:eastAsia="仿宋_GB2312" w:cs="Times New Roman"/>
          <w:bCs/>
          <w:color w:val="auto"/>
          <w:spacing w:val="6"/>
          <w:sz w:val="32"/>
          <w:szCs w:val="32"/>
          <w:highlight w:val="none"/>
          <w:lang w:val="en-US" w:eastAsia="zh-CN"/>
        </w:rPr>
        <w:t>。</w:t>
      </w:r>
      <w:r>
        <w:rPr>
          <w:rFonts w:hint="eastAsia" w:ascii="楷体_GB2312" w:hAnsi="楷体_GB2312" w:eastAsia="楷体_GB2312" w:cs="楷体_GB2312"/>
          <w:b/>
          <w:bCs w:val="0"/>
          <w:color w:val="auto"/>
          <w:spacing w:val="6"/>
          <w:sz w:val="32"/>
          <w:szCs w:val="32"/>
          <w:highlight w:val="none"/>
          <w:lang w:val="en-US" w:eastAsia="zh-CN"/>
        </w:rPr>
        <w:t>（</w:t>
      </w:r>
      <w:r>
        <w:rPr>
          <w:rFonts w:hint="eastAsia" w:ascii="楷体_GB2312" w:hAnsi="楷体_GB2312" w:eastAsia="楷体_GB2312" w:cs="楷体_GB2312"/>
          <w:b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配合单位：县发改和科技局、县工信局</w:t>
      </w:r>
      <w:r>
        <w:rPr>
          <w:rFonts w:hint="eastAsia" w:ascii="楷体_GB2312" w:hAnsi="楷体_GB2312" w:eastAsia="楷体_GB2312" w:cs="楷体_GB2312"/>
          <w:b/>
          <w:bCs w:val="0"/>
          <w:color w:val="auto"/>
          <w:spacing w:val="6"/>
          <w:sz w:val="32"/>
          <w:szCs w:val="32"/>
          <w:highlight w:val="none"/>
          <w:lang w:val="en-US" w:eastAsia="zh-CN"/>
        </w:rPr>
        <w:t>）</w:t>
      </w:r>
    </w:p>
    <w:p w14:paraId="1CE9810C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二十六、县委编办牵头（1项）</w:t>
      </w:r>
    </w:p>
    <w:p w14:paraId="60FFC115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147.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主动适应数字经济发展新趋势，落实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fldChar w:fldCharType="begin"/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instrText xml:space="preserve"> HYPERLINK "https://www.baidu.com/link?url=z-QxNBxopQpbrlmVts2ZAJHLQRMhyNfuHvMr0gBvlZYnrIFeqclou3owLCPJivCOX93zUpmFqKAfzfkSA4e1mVFdLmdodqCOR4sHsqQuYO7&amp;wd=&amp;eqid=8e408b8e001b1ba800000002661529b3" \t "https://www.baidu.com/_blank" </w:instrTex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fldChar w:fldCharType="separate"/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数据行政管理机构改革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fldChar w:fldCharType="end"/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。</w:t>
      </w:r>
    </w:p>
    <w:p w14:paraId="29D5173A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二十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七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、县直属机关事务服务中心牵头（2项）</w:t>
      </w:r>
    </w:p>
    <w:p w14:paraId="290176E8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148.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积极推进行政政务中心主楼信息化建设；</w:t>
      </w:r>
    </w:p>
    <w:p w14:paraId="7EC3FA83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149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启用行政政务中心、市民中心地下停车场，增设600个临时停车位。</w:t>
      </w:r>
    </w:p>
    <w:p w14:paraId="6D19FFE8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二十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八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、县招商中心牵头（5项）</w:t>
      </w:r>
    </w:p>
    <w:p w14:paraId="665CEEE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150.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力争全年新签约落地5亿元以上项目5个、亿元以上项目10个，招商引资到位资金15亿元以上；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（配合单位：经开区管委会</w:t>
      </w:r>
      <w:r>
        <w:rPr>
          <w:rFonts w:hint="eastAsia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，各镇政府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）</w:t>
      </w:r>
    </w:p>
    <w:p w14:paraId="52EB17F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151.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深度聚焦优势产业基础，吸引投资并寻求协同发展，布局引进主导产业的配套式、延链式中高端环节，努力形成倍增效应；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（配合单位：经开区管委会）</w:t>
      </w:r>
    </w:p>
    <w:p w14:paraId="75255D1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152.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主动对接省、市重点产业链，围绕智能制造、煤机装备、新型储能、氢能、废弃资源综合利用等行业细分领域，挖掘现有产业的上下游及配套关联项目企业，尽快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形成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以商招商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的良性循环；</w:t>
      </w:r>
    </w:p>
    <w:p w14:paraId="3710F98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64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  <w:t xml:space="preserve">153.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  <w:t>坚持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  <w:t>一把手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  <w:t>招商、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  <w:t>一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条龙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服务，健全完善专班服务工作机制，审批部门和要素保障部门提前介入、联审联办、集中勘查，大力营造重商、亲商、富商、安商的政务环境；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（配合单位：县发改和科技局、县自然资源局、县行政审批局等）</w:t>
      </w:r>
    </w:p>
    <w:p w14:paraId="2D7C20B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154.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引进香港铜锣湾集团，积极盘活市民中心地上地下空间。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（配合单位：</w:t>
      </w:r>
      <w:r>
        <w:rPr>
          <w:rFonts w:hint="eastAsia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县住建局、县自然资源局、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县</w:t>
      </w:r>
      <w:r>
        <w:rPr>
          <w:rFonts w:hint="eastAsia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直属机关事务服务中心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等）</w:t>
      </w:r>
    </w:p>
    <w:p w14:paraId="284BF6C6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二十九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、县环卫中心牵头（2项）</w:t>
      </w:r>
    </w:p>
    <w:p w14:paraId="607C1098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16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val="en-US" w:eastAsia="zh-CN"/>
        </w:rPr>
        <w:t xml:space="preserve">155. 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val="en-US" w:eastAsia="zh-CN"/>
        </w:rPr>
        <w:t>扎实推进生活垃圾分类和处理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能力提升，建成20个便民投放点、1个移动中转站；</w:t>
      </w:r>
    </w:p>
    <w:p w14:paraId="308D3322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156.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大力实施高铁高速沿线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val="en-US" w:eastAsia="zh-CN"/>
        </w:rPr>
        <w:t>周边环境整治。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（配合单位：各镇政府）</w:t>
      </w:r>
    </w:p>
    <w:p w14:paraId="27B43978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三十、县市政园林服务中心牵头（5项）</w:t>
      </w:r>
    </w:p>
    <w:p w14:paraId="6F1CDED9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157.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修缮府前桥、西源桥等4座桥梁；</w:t>
      </w:r>
    </w:p>
    <w:p w14:paraId="03BE80DE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158.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实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val="en-US" w:eastAsia="zh-CN"/>
        </w:rPr>
        <w:t>施太行路、新建街提质改造项目，同步推进雨污分流、管线入地、绿化亮化工程，推动7公里主次干道全面升级；</w:t>
      </w:r>
    </w:p>
    <w:p w14:paraId="58330CB3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159.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改造提升一批背街小巷；</w:t>
      </w:r>
    </w:p>
    <w:p w14:paraId="4582118C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160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val="en-US" w:eastAsia="zh-CN"/>
        </w:rPr>
        <w:t>推进县城积水路面、城北街电路管线治理；</w:t>
      </w:r>
    </w:p>
    <w:p w14:paraId="79A891C3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16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val="en-US" w:eastAsia="zh-CN"/>
        </w:rPr>
        <w:t>161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val="en-US" w:eastAsia="zh-CN"/>
        </w:rPr>
        <w:t>. 抓好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城市主要街道补植补种和裸地绿化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。</w:t>
      </w:r>
    </w:p>
    <w:p w14:paraId="77F4DE7E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三十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一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、县商务中心牵头（2项）</w:t>
      </w:r>
    </w:p>
    <w:p w14:paraId="6B9AE4D5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162.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社会消费品零售总额增长6%；</w:t>
      </w:r>
    </w:p>
    <w:p w14:paraId="66A0A9B8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163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大力发展电商经济，深入推进乡村e镇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四大中心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建设，新建彤鑫农贸批发市场，加快完善县级物流配送体系，</w:t>
      </w:r>
      <w:r>
        <w:rPr>
          <w:rFonts w:hint="default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lang w:val="en-US" w:eastAsia="zh-CN"/>
        </w:rPr>
        <w:t>叫响</w:t>
      </w:r>
      <w:r>
        <w:rPr>
          <w:rFonts w:hint="eastAsia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lang w:val="en-US" w:eastAsia="zh-CN"/>
        </w:rPr>
        <w:t>襄间田垣</w:t>
      </w:r>
      <w:r>
        <w:rPr>
          <w:rFonts w:hint="eastAsia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lang w:val="en-US" w:eastAsia="zh-CN"/>
        </w:rPr>
        <w:t>电商品牌</w:t>
      </w:r>
      <w:r>
        <w:rPr>
          <w:rFonts w:hint="eastAsia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lang w:val="en-US" w:eastAsia="zh-CN"/>
        </w:rPr>
        <w:t>。</w:t>
      </w:r>
    </w:p>
    <w:p w14:paraId="1E2F809C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三十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二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、县中小企业服务中心牵头（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1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项）</w:t>
      </w:r>
    </w:p>
    <w:p w14:paraId="292A4433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164.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新培育省级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专精特新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企业1家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。</w:t>
      </w:r>
    </w:p>
    <w:p w14:paraId="2A06D73F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三十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三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、县乡村振兴发展中心牵头（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1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项）</w:t>
      </w:r>
    </w:p>
    <w:p w14:paraId="073500C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165.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加强防返贫动态监测和帮扶，巩固提升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三保障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水平和饮水安全成果，强化产业、就业、消费等帮扶举措，落实好各类帮扶政策，推动脱贫人口持续增收，坚决守住不发生规模性返贫底线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。</w:t>
      </w:r>
    </w:p>
    <w:p w14:paraId="3002FFA1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三十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四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、县现代农业发展中心牵头（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1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项）</w:t>
      </w:r>
    </w:p>
    <w:p w14:paraId="385117F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166.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实施农业生产托管服务5万亩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 </w:t>
      </w:r>
    </w:p>
    <w:p w14:paraId="3B84EF0F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三十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五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、县体育服务中心牵头（5项）</w:t>
      </w:r>
    </w:p>
    <w:p w14:paraId="66F4AF5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167.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打造15分钟便民健身圈；</w:t>
      </w:r>
    </w:p>
    <w:p w14:paraId="4790ECF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168.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利用绿地公园、边角地块增设体育场地、健身器材，完善配套村（社区）体育健身设施；</w:t>
      </w:r>
    </w:p>
    <w:p w14:paraId="494C1A1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169.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在体育馆周边规划建设篮球场、羽毛球场、智能体质测试站；</w:t>
      </w:r>
    </w:p>
    <w:p w14:paraId="6B9DEA9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 xml:space="preserve">170.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新建花园路风雨棚网球场；</w:t>
      </w:r>
    </w:p>
    <w:p w14:paraId="236B4B0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cs="Times New Roman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171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广泛开展全民健身运动，积极承办省运会体育赛事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。</w:t>
      </w:r>
    </w:p>
    <w:p w14:paraId="41BBC565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三十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六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、县东湖公园服务中心牵头（1项）</w:t>
      </w:r>
    </w:p>
    <w:p w14:paraId="43D44F97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16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val="en-US" w:eastAsia="zh-CN"/>
        </w:rPr>
        <w:t xml:space="preserve">172. 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val="en-US" w:eastAsia="zh-CN"/>
        </w:rPr>
        <w:t>抓好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东湖公园补植补种和裸地绿化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。</w:t>
      </w:r>
    </w:p>
    <w:p w14:paraId="4AC11AEB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三十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七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、县城管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执法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队牵头（1项）</w:t>
      </w:r>
    </w:p>
    <w:p w14:paraId="40000AB4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16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val="en-US" w:eastAsia="zh-CN"/>
        </w:rPr>
        <w:t xml:space="preserve">173. 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val="en-US" w:eastAsia="zh-CN"/>
        </w:rPr>
        <w:t>开展游商小贩占道经营、非机动车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乱停乱放集中整治，新设置5个固定便民经营点、30个流动经营点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。</w:t>
      </w:r>
    </w:p>
    <w:p w14:paraId="1D8684DE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三十八、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经开区管委会牵头（2</w:t>
      </w: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5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项）</w:t>
      </w:r>
    </w:p>
    <w:p w14:paraId="22BB4E6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74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 推进金烨197万吨捣固焦化项目达产达效；</w:t>
      </w:r>
    </w:p>
    <w:p w14:paraId="4C0634C3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175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 推进锦鑫52万吨绿色新材料项目尽快落地，布局10万吨硝酸钾、10万吨氯化镁、30万吨硝酸钙镁等熔盐储能材料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产业要素，继续拉伸产业层级、丰富产品供给、提升产值效益；</w:t>
      </w:r>
    </w:p>
    <w:p w14:paraId="6B37360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176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 支持潞安180减油扩化增特，谋划推进脱碳尾气制10万吨生物乙醇、煤气化制50万吨合成氨、80万吨尿素化产项目前期工作，规划发展12.5万吨苯乙烯、12万吨丁辛醇等延伸项目；</w:t>
      </w:r>
    </w:p>
    <w:p w14:paraId="1C237CC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177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重点围绕潞安180富余蒸汽、弛放气等副产品转化利用，加快推动怡嘉1.7万吨玻璃管、龙翔高科9000吨玻璃纤维、嘉鹏6000标方液体空分等续建项目建成投产，全力构建延链有深度、配套有广度的精细化工产业集群；</w:t>
      </w:r>
    </w:p>
    <w:p w14:paraId="20CCEDE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178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 引导瑞恒化工共享产业链、供应链资源，推动新胜达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  <w:t>碳基工业循环经济一体化项目开工建设，提升上游原材料供应能力；</w:t>
      </w:r>
    </w:p>
    <w:p w14:paraId="11059E4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64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  <w:t>179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  <w:t>. 围绕盐酸、氯气等主副产品转化利用，新建瑞恒2万吨聚氯乙烯膜、5万吨氯化石蜡及10万吨聚合氯化铝项目，支持万普净水、裕英永旭等下游企业扩大产能，开工建设滤源环境2万吨丙烯酰胺及4万吨聚丙烯酰胺项目，吸引更多优质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中小企业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卡位入链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，着力打造PVC产业发展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新高地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；</w:t>
      </w:r>
    </w:p>
    <w:p w14:paraId="394B845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64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  <w:t>180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重点发展煤机装备、汽车装备、电池电子等新兴产业，鼓励潞安机械、铁福来、山力铂纳等企业开展设备更新，深耕煤机装备领域；</w:t>
      </w:r>
    </w:p>
    <w:p w14:paraId="42AC48B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181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 大力推动瑞泰新能源牵引车零配件、中盈100万只铝合金轮毂、酷纳斯通1500万条轮胎等项目尽快开工；</w:t>
      </w:r>
    </w:p>
    <w:p w14:paraId="7283B0B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182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 积极推进东海三月1万套LED智能照明、江苏捷豹1.5万套电池组装等项目落地建设；</w:t>
      </w:r>
    </w:p>
    <w:p w14:paraId="6C2F008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183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.支持宏瑞祥开展固废新产品研发，参与市场标准制定，做好产品宣传推介，拓展本地市场；</w:t>
      </w:r>
    </w:p>
    <w:p w14:paraId="65AF265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84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 围绕化工企业废弃资源就地转化、吃干榨净，年内建成蔚蓝环保危废、华星生态废催化剂、清创人和浓盐水资源化利用等项目；</w:t>
      </w:r>
    </w:p>
    <w:p w14:paraId="4CD8A91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85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  重点围绕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  <w:t>煤焦化工产品附加值提升，持续引进锂离子电池负极材料、高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性能碳纤维、煤基烯烃、生物医药等项目，打造300亿能级的精细化工产业集群；</w:t>
      </w:r>
    </w:p>
    <w:p w14:paraId="7458FA5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16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86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. 学习借鉴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东部地区产业园中园、工业地产等成熟经验，探索推行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政企合作、园企共建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模式，通过市场化、规模化的方式降低厂房成本，缩短建设周期，提高土地利用率，以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最低成本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吸引同类及关联特色产业集中布局；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（配合单位：县自然资源局）</w:t>
      </w:r>
    </w:p>
    <w:p w14:paraId="40C775B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楷体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Times New Roman" w:hAnsi="Times New Roman" w:eastAsia="楷体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87</w:t>
      </w:r>
      <w:r>
        <w:rPr>
          <w:rFonts w:hint="default" w:ascii="Times New Roman" w:hAnsi="Times New Roman" w:eastAsia="楷体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利用经开区孵化楼、襄矿研发大楼，打造众创孵化平台，进一步提升园区公共服务能力，力争形成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横向耦合、循环发展、规模集聚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-6"/>
          <w:sz w:val="32"/>
          <w:szCs w:val="32"/>
          <w:highlight w:val="none"/>
          <w:lang w:val="en-US" w:eastAsia="zh-CN"/>
        </w:rPr>
        <w:t>的蝶变效应，全面增强产品、企业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、产业和区域综合竞争力；</w:t>
      </w:r>
    </w:p>
    <w:p w14:paraId="6BFA19E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64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  <w:t>88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充分用好D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  <w:t>级化工园区、新型煤化工特色产业集聚区等金字招牌，吸引产业资本、技术、人才向园区集聚；</w:t>
      </w:r>
    </w:p>
    <w:p w14:paraId="42BE8256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89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highlight w:val="none"/>
          <w:lang w:val="en-US" w:eastAsia="zh-CN"/>
        </w:rPr>
        <w:t>丰富园区功能定位，改进管理服务质量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，更好发挥转型发展主阵地、主战场、主引擎作用；</w:t>
      </w:r>
    </w:p>
    <w:p w14:paraId="0114C55A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90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深入挖掘比较优势，突出错位特色发展，合理布局道路管廊、公用设施，高标准编制经开区控制性详细规划；</w:t>
      </w:r>
    </w:p>
    <w:p w14:paraId="16A9BE94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91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  开展富阳工业园区综合停车服务区及周边基础设施改造，实施污水处理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6"/>
          <w:sz w:val="32"/>
          <w:szCs w:val="32"/>
          <w:highlight w:val="none"/>
          <w:lang w:val="en-US" w:eastAsia="zh-CN"/>
        </w:rPr>
        <w:t>站、工业管廊、应急水池、消防水池等项目，完善化工园区重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大安全风险信息化平台功能，提升园区封闭化管理、智慧化管控水平，打造安全、绿色、循环的高标准化工园区；</w:t>
      </w:r>
    </w:p>
    <w:p w14:paraId="5135DC97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92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   持续推进经开区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三化三制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改革，完善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小管委会+大公司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管理运营机制，公开招聘一批高素质经营管理人才；</w:t>
      </w:r>
    </w:p>
    <w:p w14:paraId="16336B51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19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 纵深推进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承诺制+标准地+全代办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改革，实施经开区已建项目相关手续办理专项行动，妥善解决一批项目用地遗留问题；</w:t>
      </w:r>
    </w:p>
    <w:p w14:paraId="54551214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194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 大力推进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腾笼换鸟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，盘活闲置低效土地500亩、厂房1万平米，新出让标准地500亩；</w:t>
      </w:r>
    </w:p>
    <w:p w14:paraId="395BDE07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195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. 优化调整经开区赋权目录，打造全周期、全链条闭环审批模式，推动项目洽谈即服务、签约即供地、竣工即办证；</w:t>
      </w:r>
    </w:p>
    <w:p w14:paraId="32FF9C27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196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推动北大—长治襄垣化工联合实验室取得实质进展；</w:t>
      </w:r>
      <w:r>
        <w:rPr>
          <w:rFonts w:hint="eastAsia" w:ascii="Times New Roman" w:hAnsi="Times New Roman" w:eastAsia="楷体_GB2312" w:cs="Times New Roman"/>
          <w:b/>
          <w:bCs w:val="0"/>
          <w:color w:val="auto"/>
          <w:spacing w:val="0"/>
          <w:sz w:val="32"/>
          <w:szCs w:val="32"/>
          <w:highlight w:val="none"/>
          <w:shd w:val="clear"/>
          <w:lang w:val="en-US" w:eastAsia="zh-CN"/>
        </w:rPr>
        <w:t>（配合单位：县发改和科技局）</w:t>
      </w:r>
    </w:p>
    <w:p w14:paraId="573E1129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bCs w:val="0"/>
          <w:color w:val="auto"/>
          <w:spacing w:val="0"/>
          <w:sz w:val="32"/>
          <w:szCs w:val="32"/>
          <w:highlight w:val="none"/>
          <w:shd w:val="clear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197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bCs/>
          <w:color w:val="auto"/>
          <w:spacing w:val="6"/>
          <w:sz w:val="32"/>
          <w:szCs w:val="32"/>
          <w:highlight w:val="none"/>
          <w:lang w:val="en-US" w:eastAsia="zh-CN"/>
        </w:rPr>
        <w:t>扎实开展气候投融资试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>点，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</w:rPr>
        <w:t>谋划实施EOD项目，</w:t>
      </w:r>
      <w:r>
        <w:rPr>
          <w:rFonts w:hint="default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>巩固提升经开区绿色低碳循环示范园区建设成果</w:t>
      </w:r>
      <w:r>
        <w:rPr>
          <w:rFonts w:hint="eastAsia" w:ascii="Times New Roman" w:hAnsi="Times New Roman" w:eastAsia="仿宋_GB2312" w:cs="Times New Roman"/>
          <w:bCs/>
          <w:color w:val="auto"/>
          <w:spacing w:val="0"/>
          <w:sz w:val="32"/>
          <w:szCs w:val="32"/>
          <w:highlight w:val="none"/>
          <w:lang w:val="en-US" w:eastAsia="zh-CN"/>
        </w:rPr>
        <w:t>；</w:t>
      </w:r>
      <w:r>
        <w:rPr>
          <w:rFonts w:hint="default" w:ascii="Times New Roman" w:hAnsi="Times New Roman" w:eastAsia="楷体_GB2312" w:cs="Times New Roman"/>
          <w:b/>
          <w:bCs w:val="0"/>
          <w:color w:val="auto"/>
          <w:spacing w:val="0"/>
          <w:sz w:val="32"/>
          <w:szCs w:val="32"/>
          <w:highlight w:val="none"/>
          <w:shd w:val="clear"/>
          <w:lang w:val="en-US" w:eastAsia="zh-CN"/>
        </w:rPr>
        <w:t>（配合单位：县发改和科技局、市生态环境局襄垣分局、县招商中心等）</w:t>
      </w:r>
    </w:p>
    <w:p w14:paraId="05E505C5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bCs w:val="0"/>
          <w:color w:val="auto"/>
          <w:spacing w:val="0"/>
          <w:sz w:val="32"/>
          <w:szCs w:val="32"/>
          <w:highlight w:val="yellow"/>
          <w:lang w:val="en-US" w:eastAsia="zh-CN"/>
        </w:rPr>
      </w:pPr>
      <w:r>
        <w:rPr>
          <w:rFonts w:hint="eastAsia" w:ascii="Times New Roman" w:hAnsi="Times New Roman" w:eastAsia="楷体_GB2312" w:cs="Times New Roman"/>
          <w:b w:val="0"/>
          <w:bCs/>
          <w:color w:val="auto"/>
          <w:spacing w:val="0"/>
          <w:sz w:val="32"/>
          <w:szCs w:val="32"/>
          <w:highlight w:val="none"/>
          <w:shd w:val="clear"/>
          <w:lang w:val="en-US" w:eastAsia="zh-CN"/>
        </w:rPr>
        <w:t>198</w:t>
      </w:r>
      <w:r>
        <w:rPr>
          <w:rFonts w:hint="default" w:ascii="Times New Roman" w:hAnsi="Times New Roman" w:eastAsia="楷体_GB2312" w:cs="Times New Roman"/>
          <w:b w:val="0"/>
          <w:bCs/>
          <w:color w:val="auto"/>
          <w:spacing w:val="0"/>
          <w:sz w:val="32"/>
          <w:szCs w:val="32"/>
          <w:highlight w:val="none"/>
          <w:shd w:val="clear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pacing w:val="0"/>
          <w:sz w:val="32"/>
          <w:szCs w:val="32"/>
          <w:highlight w:val="none"/>
          <w:lang w:val="en-US" w:eastAsia="zh-CN"/>
        </w:rPr>
        <w:t>探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索设立要素保障平台，动态化、清单化整合水、电、气等存量支撑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。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（配合单位：县住建局、县行政审批局、县能源局，县水务集团、县供电公司</w:t>
      </w:r>
      <w:r>
        <w:rPr>
          <w:rFonts w:hint="eastAsia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、县元和公司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  <w:t>等）</w:t>
      </w:r>
    </w:p>
    <w:p w14:paraId="62E372F0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</w:pP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三十九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、各镇政府牵头（5项）</w:t>
      </w:r>
    </w:p>
    <w:p w14:paraId="34362EDD"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spacing w:before="0" w:beforeAutospacing="0" w:after="0" w:afterAutospacing="0" w:line="576" w:lineRule="exact"/>
        <w:ind w:right="0" w:rightChars="0"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bCs/>
          <w:highlight w:val="none"/>
          <w:lang w:val="en-US" w:eastAsia="zh-CN"/>
        </w:rPr>
      </w:pPr>
      <w:r>
        <w:rPr>
          <w:rFonts w:hint="eastAsia" w:ascii="Times New Roman" w:hAnsi="Times New Roman" w:eastAsia="楷体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199</w:t>
      </w:r>
      <w:r>
        <w:rPr>
          <w:rFonts w:hint="default" w:ascii="Times New Roman" w:hAnsi="Times New Roman" w:eastAsia="楷体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6"/>
          <w:sz w:val="32"/>
          <w:szCs w:val="32"/>
          <w:highlight w:val="none"/>
          <w:lang w:val="en-US" w:eastAsia="zh-CN"/>
        </w:rPr>
        <w:t>科学编制镇村规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划；</w:t>
      </w:r>
    </w:p>
    <w:p w14:paraId="1CA864D8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200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提升乡镇综合行政执法水平，大力整治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两违建设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、乱占耕地、违规生产等行为；</w:t>
      </w:r>
    </w:p>
    <w:p w14:paraId="2AAECBA0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201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. 推</w:t>
      </w:r>
      <w:r>
        <w:rPr>
          <w:rFonts w:hint="default" w:ascii="Times New Roman" w:hAnsi="Times New Roman" w:eastAsia="仿宋_GB2312" w:cs="Times New Roman"/>
          <w:color w:val="auto"/>
          <w:spacing w:val="11"/>
          <w:sz w:val="32"/>
          <w:szCs w:val="32"/>
          <w:highlight w:val="none"/>
          <w:lang w:val="en-US" w:eastAsia="zh-CN"/>
        </w:rPr>
        <w:t>动新时代文明实践向村庄、集市等末梢延伸，深化农村移风易俗改革，持续治理大操大办、封建迷信等不良风气；</w:t>
      </w:r>
    </w:p>
    <w:p w14:paraId="1EE22A6B">
      <w:pPr>
        <w:keepNext w:val="0"/>
        <w:keepLines w:val="0"/>
        <w:pageBreakBefore w:val="0"/>
        <w:widowControl w:val="0"/>
        <w:suppressLineNumbers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楷体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202</w:t>
      </w:r>
      <w:r>
        <w:rPr>
          <w:rFonts w:hint="default" w:ascii="Times New Roman" w:hAnsi="Times New Roman" w:eastAsia="楷体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新建潞宝—鸿达2.6公里焦炉煤气及附属管线项目，技改扩产LNG产能4万吨；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（牵头单位：王桥镇政府）</w:t>
      </w:r>
    </w:p>
    <w:p w14:paraId="6F90F32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="0" w:afterAutospacing="0" w:line="576" w:lineRule="exact"/>
        <w:ind w:firstLine="640" w:firstLineChars="200"/>
        <w:jc w:val="both"/>
        <w:textAlignment w:val="auto"/>
        <w:rPr>
          <w:rFonts w:hint="default" w:ascii="Times New Roman" w:hAnsi="Times New Roman" w:cs="Times New Roman"/>
        </w:rPr>
      </w:pPr>
      <w:r>
        <w:rPr>
          <w:rFonts w:hint="eastAsia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203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 xml:space="preserve">. 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加快侯堡康养专业镇建设，改建智慧康养综合服务中心，打造功能丰富、设施完善、宜居宜养的特色康养小镇。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highlight w:val="none"/>
          <w:u w:val="none" w:color="auto"/>
          <w:lang w:val="en-US" w:eastAsia="zh-CN"/>
        </w:rPr>
        <w:t>（牵头单位：侯堡镇政府）</w:t>
      </w:r>
    </w:p>
    <w:p w14:paraId="28247D51"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spacing w:line="520" w:lineRule="exact"/>
        <w:textAlignment w:val="auto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 w14:paraId="53422259">
      <w:pPr>
        <w:pStyle w:val="3"/>
        <w:rPr>
          <w:rFonts w:hint="eastAsia"/>
          <w:lang w:val="en-US" w:eastAsia="zh-CN"/>
        </w:rPr>
      </w:pPr>
    </w:p>
    <w:p w14:paraId="1B83D3C2">
      <w:pPr>
        <w:pStyle w:val="3"/>
        <w:rPr>
          <w:rFonts w:hint="eastAsia"/>
          <w:lang w:val="en-US" w:eastAsia="zh-CN"/>
        </w:rPr>
      </w:pPr>
    </w:p>
    <w:p w14:paraId="5A2722CC">
      <w:pPr>
        <w:pStyle w:val="3"/>
        <w:rPr>
          <w:rFonts w:hint="eastAsia"/>
          <w:lang w:val="en-US" w:eastAsia="zh-CN"/>
        </w:rPr>
      </w:pPr>
    </w:p>
    <w:p w14:paraId="093AEC02">
      <w:pPr>
        <w:pStyle w:val="3"/>
        <w:rPr>
          <w:rFonts w:hint="eastAsia"/>
          <w:lang w:val="en-US" w:eastAsia="zh-CN"/>
        </w:rPr>
      </w:pPr>
    </w:p>
    <w:p w14:paraId="7B7CCF92">
      <w:pPr>
        <w:pStyle w:val="3"/>
        <w:rPr>
          <w:rFonts w:hint="eastAsia"/>
          <w:lang w:val="en-US" w:eastAsia="zh-CN"/>
        </w:rPr>
      </w:pPr>
    </w:p>
    <w:p w14:paraId="19A8B292">
      <w:pPr>
        <w:pStyle w:val="3"/>
        <w:rPr>
          <w:rFonts w:hint="eastAsia"/>
          <w:lang w:val="en-US" w:eastAsia="zh-CN"/>
        </w:rPr>
      </w:pPr>
    </w:p>
    <w:p w14:paraId="08C94CA0">
      <w:pPr>
        <w:pStyle w:val="3"/>
        <w:rPr>
          <w:rFonts w:hint="eastAsia"/>
          <w:lang w:val="en-US" w:eastAsia="zh-CN"/>
        </w:rPr>
      </w:pPr>
    </w:p>
    <w:p w14:paraId="3854C529">
      <w:pPr>
        <w:pStyle w:val="3"/>
        <w:rPr>
          <w:rFonts w:hint="eastAsia"/>
          <w:lang w:val="en-US" w:eastAsia="zh-CN"/>
        </w:rPr>
      </w:pPr>
    </w:p>
    <w:p w14:paraId="4F61A14E">
      <w:pPr>
        <w:pStyle w:val="3"/>
        <w:rPr>
          <w:rFonts w:hint="eastAsia"/>
          <w:lang w:val="en-US" w:eastAsia="zh-CN"/>
        </w:rPr>
      </w:pPr>
    </w:p>
    <w:p w14:paraId="61BBD1A9">
      <w:pPr>
        <w:pStyle w:val="3"/>
        <w:rPr>
          <w:rFonts w:hint="eastAsia"/>
          <w:lang w:val="en-US" w:eastAsia="zh-CN"/>
        </w:rPr>
      </w:pPr>
    </w:p>
    <w:p w14:paraId="3E6074A0">
      <w:pPr>
        <w:pStyle w:val="3"/>
        <w:rPr>
          <w:rFonts w:hint="eastAsia"/>
          <w:lang w:val="en-US" w:eastAsia="zh-CN"/>
        </w:rPr>
      </w:pPr>
    </w:p>
    <w:p w14:paraId="137CE854">
      <w:pPr>
        <w:pStyle w:val="3"/>
        <w:rPr>
          <w:rFonts w:hint="eastAsia"/>
          <w:lang w:val="en-US" w:eastAsia="zh-CN"/>
        </w:rPr>
      </w:pPr>
    </w:p>
    <w:p w14:paraId="439FA301">
      <w:pPr>
        <w:rPr>
          <w:rFonts w:hint="default" w:ascii="Times New Roman" w:hAnsi="Times New Roman" w:cs="Times New Roman"/>
        </w:rPr>
      </w:pPr>
      <w:bookmarkStart w:id="0" w:name="_GoBack"/>
      <w:bookmarkEnd w:id="0"/>
    </w:p>
    <w:sectPr>
      <w:footerReference r:id="rId5" w:type="default"/>
      <w:pgSz w:w="11906" w:h="16838"/>
      <w:pgMar w:top="2098" w:right="1531" w:bottom="1984" w:left="1531" w:header="708" w:footer="1587" w:gutter="0"/>
      <w:pgNumType w:fmt="numberInDash"/>
      <w:cols w:space="0" w:num="1"/>
      <w:rtlGutter w:val="0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宋体_x0011_..哟..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F05AF93">
    <w:pPr>
      <w:pStyle w:val="4"/>
      <w:keepNext w:val="0"/>
      <w:keepLines w:val="0"/>
      <w:pageBreakBefore w:val="0"/>
      <w:widowControl/>
      <w:kinsoku/>
      <w:wordWrap/>
      <w:overflowPunct/>
      <w:topLinePunct w:val="0"/>
      <w:autoSpaceDE/>
      <w:autoSpaceDN/>
      <w:bidi w:val="0"/>
      <w:adjustRightInd w:val="0"/>
      <w:snapToGrid w:val="0"/>
      <w:spacing w:after="0"/>
      <w:textAlignment w:val="auto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 w14:paraId="12B2D065">
                          <w:pPr>
                            <w:pStyle w:val="4"/>
                            <w:keepNext w:val="0"/>
                            <w:keepLines w:val="0"/>
                            <w:pageBreakBefore w:val="0"/>
                            <w:widowControl/>
                            <w:kinsoku/>
                            <w:wordWrap/>
                            <w:overflowPunct/>
                            <w:topLinePunct w:val="0"/>
                            <w:autoSpaceDE/>
                            <w:autoSpaceDN/>
                            <w:bidi w:val="0"/>
                            <w:adjustRightInd w:val="0"/>
                            <w:snapToGrid w:val="0"/>
                            <w:spacing w:after="0"/>
                            <w:ind w:left="330" w:leftChars="150" w:right="330" w:rightChars="150"/>
                            <w:textAlignment w:val="auto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M6pebnPAAAABQEAAA8A&#10;AAAAAAAAAQAgAAAAIgAAAGRycy9kb3ducmV2LnhtbFBLAQIUABQAAAAIAIdO4kAbIchB5wEAAMcD&#10;AAAOAAAAAAAAAAEAIAAAAB4BAABkcnMvZTJvRG9jLnhtbFBLBQYAAAAABgAGAFkBAAB3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12B2D065">
                    <w:pPr>
                      <w:pStyle w:val="4"/>
                      <w:keepNext w:val="0"/>
                      <w:keepLines w:val="0"/>
                      <w:pageBreakBefore w:val="0"/>
                      <w:widowControl/>
                      <w:kinsoku/>
                      <w:wordWrap/>
                      <w:overflowPunct/>
                      <w:topLinePunct w:val="0"/>
                      <w:autoSpaceDE/>
                      <w:autoSpaceDN/>
                      <w:bidi w:val="0"/>
                      <w:adjustRightInd w:val="0"/>
                      <w:snapToGrid w:val="0"/>
                      <w:spacing w:after="0"/>
                      <w:ind w:left="330" w:leftChars="150" w:right="330" w:rightChars="150"/>
                      <w:textAlignment w:val="auto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CF42B24"/>
    <w:multiLevelType w:val="singleLevel"/>
    <w:tmpl w:val="1CF42B24"/>
    <w:lvl w:ilvl="0" w:tentative="0">
      <w:start w:val="10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EyYWU4YTVhNjU2YmMxN2VkYzMzNzcyNWY4ZDY1ODgifQ=="/>
    <w:docVar w:name="KSO_WPS_MARK_KEY" w:val="56c0c912-b2ed-4bee-ab4e-129a6e5ac697"/>
  </w:docVars>
  <w:rsids>
    <w:rsidRoot w:val="00172A27"/>
    <w:rsid w:val="000A51D1"/>
    <w:rsid w:val="00323B43"/>
    <w:rsid w:val="003D37D8"/>
    <w:rsid w:val="00426133"/>
    <w:rsid w:val="004358AB"/>
    <w:rsid w:val="0052325C"/>
    <w:rsid w:val="006E3E1B"/>
    <w:rsid w:val="008B7726"/>
    <w:rsid w:val="00BE1D9A"/>
    <w:rsid w:val="00D31D50"/>
    <w:rsid w:val="00F3307E"/>
    <w:rsid w:val="013412AE"/>
    <w:rsid w:val="013B7587"/>
    <w:rsid w:val="016308DD"/>
    <w:rsid w:val="01825680"/>
    <w:rsid w:val="01AA07CF"/>
    <w:rsid w:val="01F06625"/>
    <w:rsid w:val="01FC2938"/>
    <w:rsid w:val="01FC3D7A"/>
    <w:rsid w:val="025973CD"/>
    <w:rsid w:val="02C800A9"/>
    <w:rsid w:val="03721E8A"/>
    <w:rsid w:val="03D97AD0"/>
    <w:rsid w:val="03F528E6"/>
    <w:rsid w:val="04BA6B35"/>
    <w:rsid w:val="04CF5B8A"/>
    <w:rsid w:val="0596018E"/>
    <w:rsid w:val="05C12AE9"/>
    <w:rsid w:val="05FC02F9"/>
    <w:rsid w:val="06961F20"/>
    <w:rsid w:val="06C072B2"/>
    <w:rsid w:val="077138D4"/>
    <w:rsid w:val="080B5704"/>
    <w:rsid w:val="081B2244"/>
    <w:rsid w:val="08331D88"/>
    <w:rsid w:val="08D50E04"/>
    <w:rsid w:val="08E1240D"/>
    <w:rsid w:val="09034B17"/>
    <w:rsid w:val="093D2AF2"/>
    <w:rsid w:val="09E36300"/>
    <w:rsid w:val="0A3B22A4"/>
    <w:rsid w:val="0A941BD4"/>
    <w:rsid w:val="0ABF5A63"/>
    <w:rsid w:val="0AC47A6C"/>
    <w:rsid w:val="0AFA5B6D"/>
    <w:rsid w:val="0B144450"/>
    <w:rsid w:val="0B29654F"/>
    <w:rsid w:val="0B49560B"/>
    <w:rsid w:val="0B786E6F"/>
    <w:rsid w:val="0C4D0685"/>
    <w:rsid w:val="0D1A61D7"/>
    <w:rsid w:val="0D2F5440"/>
    <w:rsid w:val="0D703920"/>
    <w:rsid w:val="0DE8007A"/>
    <w:rsid w:val="0EB3615E"/>
    <w:rsid w:val="0EDF6930"/>
    <w:rsid w:val="0F6B52A0"/>
    <w:rsid w:val="0FEB502F"/>
    <w:rsid w:val="100057FC"/>
    <w:rsid w:val="104D7D17"/>
    <w:rsid w:val="10522CC9"/>
    <w:rsid w:val="10A9450C"/>
    <w:rsid w:val="118D25AA"/>
    <w:rsid w:val="126B1529"/>
    <w:rsid w:val="128D5D44"/>
    <w:rsid w:val="131974C0"/>
    <w:rsid w:val="133B404C"/>
    <w:rsid w:val="135B7DA8"/>
    <w:rsid w:val="139536E7"/>
    <w:rsid w:val="13B76AD6"/>
    <w:rsid w:val="13D444E4"/>
    <w:rsid w:val="14090A6E"/>
    <w:rsid w:val="1463376F"/>
    <w:rsid w:val="14EE2017"/>
    <w:rsid w:val="154A61AC"/>
    <w:rsid w:val="15DA73B2"/>
    <w:rsid w:val="15FB3BD3"/>
    <w:rsid w:val="1637000B"/>
    <w:rsid w:val="16E336E2"/>
    <w:rsid w:val="16ED4569"/>
    <w:rsid w:val="170F4AF6"/>
    <w:rsid w:val="175253ED"/>
    <w:rsid w:val="17784999"/>
    <w:rsid w:val="18E074F8"/>
    <w:rsid w:val="194B7AAD"/>
    <w:rsid w:val="195041B4"/>
    <w:rsid w:val="196D032F"/>
    <w:rsid w:val="19D27672"/>
    <w:rsid w:val="1AC1144D"/>
    <w:rsid w:val="1B353250"/>
    <w:rsid w:val="1B401902"/>
    <w:rsid w:val="1B8C1254"/>
    <w:rsid w:val="1BBB4E47"/>
    <w:rsid w:val="1BBE2C8F"/>
    <w:rsid w:val="1BDE1593"/>
    <w:rsid w:val="1C157B0E"/>
    <w:rsid w:val="1C1D3F86"/>
    <w:rsid w:val="1C3E7B1E"/>
    <w:rsid w:val="1C583268"/>
    <w:rsid w:val="1C683205"/>
    <w:rsid w:val="1CF30817"/>
    <w:rsid w:val="1D9D61C0"/>
    <w:rsid w:val="1DBDC6BD"/>
    <w:rsid w:val="1F4B068D"/>
    <w:rsid w:val="1FC553BD"/>
    <w:rsid w:val="1FC656AE"/>
    <w:rsid w:val="20391C18"/>
    <w:rsid w:val="207E0258"/>
    <w:rsid w:val="20AB3B9D"/>
    <w:rsid w:val="21047808"/>
    <w:rsid w:val="210A295E"/>
    <w:rsid w:val="21F94810"/>
    <w:rsid w:val="2276402D"/>
    <w:rsid w:val="236729BA"/>
    <w:rsid w:val="23BF3479"/>
    <w:rsid w:val="23C033E1"/>
    <w:rsid w:val="23DA203A"/>
    <w:rsid w:val="252748F3"/>
    <w:rsid w:val="253552A1"/>
    <w:rsid w:val="260A7D87"/>
    <w:rsid w:val="262201E6"/>
    <w:rsid w:val="26353A79"/>
    <w:rsid w:val="26434F71"/>
    <w:rsid w:val="27370543"/>
    <w:rsid w:val="27781BFA"/>
    <w:rsid w:val="27D179DA"/>
    <w:rsid w:val="27DF43C5"/>
    <w:rsid w:val="27E80AAC"/>
    <w:rsid w:val="282C74E1"/>
    <w:rsid w:val="289A3A2F"/>
    <w:rsid w:val="29FA2FB1"/>
    <w:rsid w:val="29FE1C94"/>
    <w:rsid w:val="2A615323"/>
    <w:rsid w:val="2AC2777C"/>
    <w:rsid w:val="2ACA7160"/>
    <w:rsid w:val="2B24088C"/>
    <w:rsid w:val="2B943DFF"/>
    <w:rsid w:val="2BAC3A00"/>
    <w:rsid w:val="2C025392"/>
    <w:rsid w:val="2C7101D6"/>
    <w:rsid w:val="2C8326C2"/>
    <w:rsid w:val="2C974F28"/>
    <w:rsid w:val="2CD83C5C"/>
    <w:rsid w:val="2D6C7758"/>
    <w:rsid w:val="2D80795C"/>
    <w:rsid w:val="2D8A17FE"/>
    <w:rsid w:val="2D947A5E"/>
    <w:rsid w:val="2EC526B0"/>
    <w:rsid w:val="2F070807"/>
    <w:rsid w:val="2F410CA3"/>
    <w:rsid w:val="2F7456ED"/>
    <w:rsid w:val="2FA639C6"/>
    <w:rsid w:val="308F7147"/>
    <w:rsid w:val="30907103"/>
    <w:rsid w:val="309D7618"/>
    <w:rsid w:val="30C24D4E"/>
    <w:rsid w:val="30FA4543"/>
    <w:rsid w:val="311D2C03"/>
    <w:rsid w:val="312369E5"/>
    <w:rsid w:val="31595348"/>
    <w:rsid w:val="321B12A1"/>
    <w:rsid w:val="32C04FE0"/>
    <w:rsid w:val="32E92EE8"/>
    <w:rsid w:val="334F7117"/>
    <w:rsid w:val="338144BB"/>
    <w:rsid w:val="33D737E0"/>
    <w:rsid w:val="354C18F3"/>
    <w:rsid w:val="35FC0423"/>
    <w:rsid w:val="36360A82"/>
    <w:rsid w:val="378B55CF"/>
    <w:rsid w:val="38154FB3"/>
    <w:rsid w:val="386F3E02"/>
    <w:rsid w:val="38CD18E4"/>
    <w:rsid w:val="39E60659"/>
    <w:rsid w:val="3A3A7BB4"/>
    <w:rsid w:val="3A4C5E0C"/>
    <w:rsid w:val="3A577422"/>
    <w:rsid w:val="3A712F6E"/>
    <w:rsid w:val="3B095301"/>
    <w:rsid w:val="3B0A699C"/>
    <w:rsid w:val="3C3C7595"/>
    <w:rsid w:val="3C4E7128"/>
    <w:rsid w:val="3C60221D"/>
    <w:rsid w:val="3C7C1E14"/>
    <w:rsid w:val="3CE63868"/>
    <w:rsid w:val="3CED4CC1"/>
    <w:rsid w:val="3DD34A2F"/>
    <w:rsid w:val="3EBF23A0"/>
    <w:rsid w:val="3ECF20C3"/>
    <w:rsid w:val="3F4E1A3A"/>
    <w:rsid w:val="3F9234BD"/>
    <w:rsid w:val="3FD616DB"/>
    <w:rsid w:val="3FED7F77"/>
    <w:rsid w:val="405461F4"/>
    <w:rsid w:val="407F7E12"/>
    <w:rsid w:val="408C263E"/>
    <w:rsid w:val="40CF1EB2"/>
    <w:rsid w:val="41123FB6"/>
    <w:rsid w:val="41367A6D"/>
    <w:rsid w:val="41952BAD"/>
    <w:rsid w:val="41E05F0E"/>
    <w:rsid w:val="41F65DEB"/>
    <w:rsid w:val="42CF3FF9"/>
    <w:rsid w:val="42EE5242"/>
    <w:rsid w:val="437D2967"/>
    <w:rsid w:val="451971B4"/>
    <w:rsid w:val="454826BF"/>
    <w:rsid w:val="45744406"/>
    <w:rsid w:val="4593420F"/>
    <w:rsid w:val="45AD646E"/>
    <w:rsid w:val="45D70B56"/>
    <w:rsid w:val="464D5661"/>
    <w:rsid w:val="46B63525"/>
    <w:rsid w:val="46DA220D"/>
    <w:rsid w:val="46E11FD3"/>
    <w:rsid w:val="47053CCB"/>
    <w:rsid w:val="471127A4"/>
    <w:rsid w:val="4731415E"/>
    <w:rsid w:val="4749277F"/>
    <w:rsid w:val="47CD37F0"/>
    <w:rsid w:val="47F7154D"/>
    <w:rsid w:val="48126B3D"/>
    <w:rsid w:val="482D3DDA"/>
    <w:rsid w:val="48A332F1"/>
    <w:rsid w:val="49E21C97"/>
    <w:rsid w:val="4ACE22F7"/>
    <w:rsid w:val="4ACF0947"/>
    <w:rsid w:val="4AF82BB3"/>
    <w:rsid w:val="4B9D320E"/>
    <w:rsid w:val="4BAA4A44"/>
    <w:rsid w:val="4BD22323"/>
    <w:rsid w:val="4C1A2FBD"/>
    <w:rsid w:val="4C402370"/>
    <w:rsid w:val="4C6F2312"/>
    <w:rsid w:val="4CA2653C"/>
    <w:rsid w:val="4D345445"/>
    <w:rsid w:val="4D557F37"/>
    <w:rsid w:val="4DB34E88"/>
    <w:rsid w:val="4DC0428D"/>
    <w:rsid w:val="4DEC1965"/>
    <w:rsid w:val="4E467D70"/>
    <w:rsid w:val="4E4C7C5F"/>
    <w:rsid w:val="4EE81B69"/>
    <w:rsid w:val="4F0551B3"/>
    <w:rsid w:val="4F1530FA"/>
    <w:rsid w:val="4FA32E7F"/>
    <w:rsid w:val="50277270"/>
    <w:rsid w:val="504F7A3E"/>
    <w:rsid w:val="50A27AAF"/>
    <w:rsid w:val="514D5F5E"/>
    <w:rsid w:val="52092721"/>
    <w:rsid w:val="524C0E1E"/>
    <w:rsid w:val="525448AC"/>
    <w:rsid w:val="526E294F"/>
    <w:rsid w:val="52AE6282"/>
    <w:rsid w:val="53390D96"/>
    <w:rsid w:val="53491DD1"/>
    <w:rsid w:val="535363DA"/>
    <w:rsid w:val="53895E29"/>
    <w:rsid w:val="53D03108"/>
    <w:rsid w:val="53D05E63"/>
    <w:rsid w:val="543E7F36"/>
    <w:rsid w:val="5490426C"/>
    <w:rsid w:val="54A67468"/>
    <w:rsid w:val="54DD26F2"/>
    <w:rsid w:val="54EA1B15"/>
    <w:rsid w:val="54F1334B"/>
    <w:rsid w:val="551F4360"/>
    <w:rsid w:val="554F16C9"/>
    <w:rsid w:val="55AC0375"/>
    <w:rsid w:val="57456E4D"/>
    <w:rsid w:val="5791786A"/>
    <w:rsid w:val="57D84CA4"/>
    <w:rsid w:val="57DF1344"/>
    <w:rsid w:val="5833721D"/>
    <w:rsid w:val="5852427F"/>
    <w:rsid w:val="590F266C"/>
    <w:rsid w:val="592453C3"/>
    <w:rsid w:val="59427AF9"/>
    <w:rsid w:val="599314C5"/>
    <w:rsid w:val="59C410B8"/>
    <w:rsid w:val="59E4430C"/>
    <w:rsid w:val="5A18671F"/>
    <w:rsid w:val="5A1C1D9F"/>
    <w:rsid w:val="5A344257"/>
    <w:rsid w:val="5A785B4E"/>
    <w:rsid w:val="5B05327A"/>
    <w:rsid w:val="5B3537A1"/>
    <w:rsid w:val="5B4E38D2"/>
    <w:rsid w:val="5B607B28"/>
    <w:rsid w:val="5B9B4911"/>
    <w:rsid w:val="5C195D4A"/>
    <w:rsid w:val="5D0C544B"/>
    <w:rsid w:val="5D503222"/>
    <w:rsid w:val="5E885D43"/>
    <w:rsid w:val="5EA10FEE"/>
    <w:rsid w:val="5FF912C0"/>
    <w:rsid w:val="600C73D6"/>
    <w:rsid w:val="607F60B3"/>
    <w:rsid w:val="612C1E9F"/>
    <w:rsid w:val="61CF5574"/>
    <w:rsid w:val="61D766D1"/>
    <w:rsid w:val="62022F3D"/>
    <w:rsid w:val="623F7A67"/>
    <w:rsid w:val="62511F66"/>
    <w:rsid w:val="6260733A"/>
    <w:rsid w:val="62B46E00"/>
    <w:rsid w:val="62E71F58"/>
    <w:rsid w:val="63252B8E"/>
    <w:rsid w:val="641A7012"/>
    <w:rsid w:val="64C638C5"/>
    <w:rsid w:val="651518C5"/>
    <w:rsid w:val="65B91F8A"/>
    <w:rsid w:val="65D53A72"/>
    <w:rsid w:val="66AB5D31"/>
    <w:rsid w:val="67EF7D21"/>
    <w:rsid w:val="687D7B37"/>
    <w:rsid w:val="688C7A63"/>
    <w:rsid w:val="68FD04BF"/>
    <w:rsid w:val="69A50586"/>
    <w:rsid w:val="69C908E3"/>
    <w:rsid w:val="6A010436"/>
    <w:rsid w:val="6AB8714F"/>
    <w:rsid w:val="6B1C7CC0"/>
    <w:rsid w:val="6B3C311F"/>
    <w:rsid w:val="6B927045"/>
    <w:rsid w:val="6BAB2B05"/>
    <w:rsid w:val="6BC57715"/>
    <w:rsid w:val="6BE1041F"/>
    <w:rsid w:val="6BEA4965"/>
    <w:rsid w:val="6C242287"/>
    <w:rsid w:val="6CAC0CFF"/>
    <w:rsid w:val="6D4A5159"/>
    <w:rsid w:val="6DBA007B"/>
    <w:rsid w:val="6F062BFA"/>
    <w:rsid w:val="6F3A68F1"/>
    <w:rsid w:val="6F864AC0"/>
    <w:rsid w:val="70054223"/>
    <w:rsid w:val="700C2B1A"/>
    <w:rsid w:val="71E23B86"/>
    <w:rsid w:val="723C43A0"/>
    <w:rsid w:val="72671AB1"/>
    <w:rsid w:val="72B46E00"/>
    <w:rsid w:val="72D00AA2"/>
    <w:rsid w:val="72D92E4B"/>
    <w:rsid w:val="72FF1E5E"/>
    <w:rsid w:val="731D0613"/>
    <w:rsid w:val="733B657F"/>
    <w:rsid w:val="738D1267"/>
    <w:rsid w:val="73CC3CF1"/>
    <w:rsid w:val="741E1DDA"/>
    <w:rsid w:val="74430C07"/>
    <w:rsid w:val="74C0121F"/>
    <w:rsid w:val="751B5B39"/>
    <w:rsid w:val="755C1135"/>
    <w:rsid w:val="7664484A"/>
    <w:rsid w:val="772C5B5B"/>
    <w:rsid w:val="780B09F3"/>
    <w:rsid w:val="788045DF"/>
    <w:rsid w:val="78F53D79"/>
    <w:rsid w:val="793F2338"/>
    <w:rsid w:val="797D1817"/>
    <w:rsid w:val="7A3A596D"/>
    <w:rsid w:val="7AA704FE"/>
    <w:rsid w:val="7B080417"/>
    <w:rsid w:val="7B613080"/>
    <w:rsid w:val="7B6B275E"/>
    <w:rsid w:val="7B900209"/>
    <w:rsid w:val="7B9E7671"/>
    <w:rsid w:val="7BB54DBA"/>
    <w:rsid w:val="7BD43FD7"/>
    <w:rsid w:val="7BDF3132"/>
    <w:rsid w:val="7C1A3B2E"/>
    <w:rsid w:val="7C5D69B3"/>
    <w:rsid w:val="7C9C2D80"/>
    <w:rsid w:val="7CCC3FAD"/>
    <w:rsid w:val="7CFB030C"/>
    <w:rsid w:val="7D5346A9"/>
    <w:rsid w:val="7DAE1DC1"/>
    <w:rsid w:val="7EC85FAA"/>
    <w:rsid w:val="7F4B6DDE"/>
    <w:rsid w:val="7FDA7F9B"/>
    <w:rsid w:val="E7312992"/>
    <w:rsid w:val="EF53A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="微软雅黑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tabs>
        <w:tab w:val="right" w:pos="8490"/>
      </w:tabs>
      <w:spacing w:beforeLines="0" w:beforeAutospacing="0" w:afterLines="0" w:afterAutospacing="0" w:line="576" w:lineRule="exact"/>
      <w:outlineLvl w:val="0"/>
    </w:pPr>
    <w:rPr>
      <w:rFonts w:ascii="Calibri" w:hAnsi="Calibri" w:eastAsia="仿宋_GB2312"/>
      <w:kern w:val="44"/>
      <w:sz w:val="32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next w:val="1"/>
    <w:qFormat/>
    <w:uiPriority w:val="0"/>
    <w:pPr>
      <w:spacing w:after="120" w:afterLines="0" w:afterAutospacing="0"/>
      <w:ind w:left="420" w:leftChars="200"/>
    </w:pPr>
  </w:style>
  <w:style w:type="paragraph" w:styleId="4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next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7">
    <w:name w:val="Body Text First Indent 2"/>
    <w:basedOn w:val="1"/>
    <w:next w:val="8"/>
    <w:qFormat/>
    <w:uiPriority w:val="0"/>
    <w:pPr>
      <w:ind w:firstLine="420" w:firstLineChars="200"/>
    </w:pPr>
  </w:style>
  <w:style w:type="paragraph" w:customStyle="1" w:styleId="8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_x0011_..哟.." w:hAnsi="Times New Roman" w:eastAsia="宋体_x0011_..哟.." w:cs="宋体_x0011_..哟.."/>
      <w:color w:val="000000"/>
      <w:sz w:val="24"/>
      <w:szCs w:val="24"/>
      <w:lang w:val="en-US" w:eastAsia="zh-CN" w:bidi="ar-SA"/>
    </w:rPr>
  </w:style>
  <w:style w:type="paragraph" w:customStyle="1" w:styleId="11">
    <w:name w:val="正文首行缩进 21"/>
    <w:basedOn w:val="12"/>
    <w:next w:val="6"/>
    <w:qFormat/>
    <w:uiPriority w:val="0"/>
    <w:pPr>
      <w:ind w:left="200" w:leftChars="200" w:firstLine="200" w:firstLineChars="200"/>
    </w:pPr>
  </w:style>
  <w:style w:type="paragraph" w:customStyle="1" w:styleId="12">
    <w:name w:val="正文文本缩进1"/>
    <w:basedOn w:val="1"/>
    <w:qFormat/>
    <w:uiPriority w:val="0"/>
    <w:pPr>
      <w:ind w:left="200" w:leftChars="200"/>
    </w:pPr>
  </w:style>
  <w:style w:type="paragraph" w:customStyle="1" w:styleId="13">
    <w:name w:val="BodyTextIndent"/>
    <w:basedOn w:val="1"/>
    <w:qFormat/>
    <w:uiPriority w:val="0"/>
    <w:pPr>
      <w:spacing w:after="120"/>
      <w:ind w:left="200" w:leftChars="200"/>
    </w:pPr>
  </w:style>
  <w:style w:type="character" w:customStyle="1" w:styleId="14">
    <w:name w:val="NormalCharact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22</Pages>
  <Words>9110</Words>
  <Characters>9790</Characters>
  <Lines>1</Lines>
  <Paragraphs>1</Paragraphs>
  <TotalTime>33</TotalTime>
  <ScaleCrop>false</ScaleCrop>
  <LinksUpToDate>false</LinksUpToDate>
  <CharactersWithSpaces>10032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2008-09-12T17:20:00Z</dcterms:created>
  <dc:creator>Administrator</dc:creator>
  <cp:lastModifiedBy>Administrator</cp:lastModifiedBy>
  <cp:lastPrinted>2024-05-24T09:45:00Z</cp:lastPrinted>
  <dcterms:modified xsi:type="dcterms:W3CDTF">2025-01-04T14:28:31Z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5E7C909B5EC240A5A28A7D6B56CDAD43_13</vt:lpwstr>
  </property>
  <property fmtid="{D5CDD505-2E9C-101B-9397-08002B2CF9AE}" pid="4" name="KSOTemplateDocerSaveRecord">
    <vt:lpwstr>eyJoZGlkIjoiOTNmNzgyOTZjYzZlMDQxNjQ2MWE3MzUyYTgxOWVmYzgifQ==</vt:lpwstr>
  </property>
</Properties>
</file>