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襄垣县住房和城乡建设管理局</w:t>
      </w:r>
    </w:p>
    <w:p>
      <w:pPr>
        <w:keepNext w:val="0"/>
        <w:keepLines w:val="0"/>
        <w:pageBreakBefore w:val="0"/>
        <w:widowControl w:val="0"/>
        <w:kinsoku/>
        <w:wordWrap/>
        <w:topLinePunct w:val="0"/>
        <w:autoSpaceDE/>
        <w:autoSpaceDN/>
        <w:bidi w:val="0"/>
        <w:adjustRightInd/>
        <w:snapToGrid/>
        <w:spacing w:line="62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关于2023年工作总结和2024年工作计划的报  告</w:t>
      </w:r>
    </w:p>
    <w:p>
      <w:pPr>
        <w:keepNext w:val="0"/>
        <w:keepLines w:val="0"/>
        <w:pageBreakBefore w:val="0"/>
        <w:widowControl w:val="0"/>
        <w:kinsoku/>
        <w:wordWrap/>
        <w:overflowPunct w:val="0"/>
        <w:topLinePunct w:val="0"/>
        <w:autoSpaceDE/>
        <w:autoSpaceDN/>
        <w:bidi w:val="0"/>
        <w:adjustRightInd/>
        <w:snapToGrid/>
        <w:spacing w:line="62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一、2023年工作总结</w:t>
      </w:r>
    </w:p>
    <w:p>
      <w:pPr>
        <w:keepNext w:val="0"/>
        <w:keepLines w:val="0"/>
        <w:pageBreakBefore w:val="0"/>
        <w:widowControl w:val="0"/>
        <w:numPr>
          <w:ilvl w:val="0"/>
          <w:numId w:val="1"/>
        </w:numPr>
        <w:kinsoku/>
        <w:wordWrap/>
        <w:overflowPunct w:val="0"/>
        <w:topLinePunct w:val="0"/>
        <w:autoSpaceDE/>
        <w:autoSpaceDN/>
        <w:bidi w:val="0"/>
        <w:adjustRightInd/>
        <w:snapToGrid/>
        <w:spacing w:line="620" w:lineRule="exact"/>
        <w:ind w:firstLine="626" w:firstLineChars="200"/>
        <w:jc w:val="both"/>
        <w:textAlignment w:val="auto"/>
        <w:rPr>
          <w:rFonts w:hint="eastAsia" w:ascii="楷体_GB2312" w:hAnsi="楷体_GB2312" w:eastAsia="楷体_GB2312" w:cs="楷体_GB2312"/>
          <w:b w:val="0"/>
          <w:bCs w:val="0"/>
          <w:w w:val="98"/>
          <w:sz w:val="32"/>
          <w:szCs w:val="32"/>
          <w:lang w:val="en-US" w:eastAsia="zh-CN"/>
        </w:rPr>
      </w:pPr>
      <w:r>
        <w:rPr>
          <w:rFonts w:hint="eastAsia" w:ascii="楷体_GB2312" w:hAnsi="楷体_GB2312" w:eastAsia="楷体_GB2312" w:cs="楷体_GB2312"/>
          <w:b w:val="0"/>
          <w:bCs w:val="0"/>
          <w:w w:val="98"/>
          <w:sz w:val="32"/>
          <w:szCs w:val="32"/>
          <w:lang w:val="en-US" w:eastAsia="zh-CN"/>
        </w:rPr>
        <w:t>全力完成经济指标任务</w:t>
      </w:r>
    </w:p>
    <w:p>
      <w:pPr>
        <w:keepNext w:val="0"/>
        <w:keepLines w:val="0"/>
        <w:pageBreakBefore w:val="0"/>
        <w:widowControl w:val="0"/>
        <w:kinsoku/>
        <w:wordWrap/>
        <w:topLinePunct w:val="0"/>
        <w:autoSpaceDE/>
        <w:autoSpaceDN/>
        <w:bidi w:val="0"/>
        <w:adjustRightInd/>
        <w:snapToGrid/>
        <w:spacing w:line="620" w:lineRule="exact"/>
        <w:ind w:firstLine="640" w:firstLineChars="200"/>
        <w:textAlignment w:val="auto"/>
        <w:rPr>
          <w:rFonts w:hint="default" w:ascii="仿宋" w:hAnsi="仿宋" w:eastAsia="仿宋" w:cs="仿宋"/>
          <w:b w:val="0"/>
          <w:bCs w:val="0"/>
          <w:sz w:val="32"/>
          <w:szCs w:val="32"/>
          <w:lang w:val="en-US" w:eastAsia="zh-CN"/>
        </w:rPr>
      </w:pPr>
      <w:r>
        <w:rPr>
          <w:rFonts w:hint="eastAsia" w:ascii="仿宋_GB2312" w:hAnsi="仿宋_GB2312" w:eastAsia="仿宋_GB2312" w:cs="仿宋_GB2312"/>
          <w:sz w:val="32"/>
          <w:szCs w:val="32"/>
          <w:lang w:val="en-US" w:eastAsia="zh-CN"/>
        </w:rPr>
        <w:t>我局今年坚持“稳中求进”的工作总基调，锚定年度目标，较好地完成了各项经济指标。全年预计共</w:t>
      </w:r>
      <w:r>
        <w:rPr>
          <w:rFonts w:hint="eastAsia" w:ascii="仿宋" w:hAnsi="仿宋" w:eastAsia="仿宋" w:cs="仿宋"/>
          <w:b w:val="0"/>
          <w:bCs w:val="0"/>
          <w:sz w:val="32"/>
          <w:szCs w:val="32"/>
          <w:lang w:val="en-US" w:eastAsia="zh-CN"/>
        </w:rPr>
        <w:t>完成房地产投资17亿元，商品房销售面积23.5万平米</w:t>
      </w:r>
      <w:r>
        <w:rPr>
          <w:rFonts w:hint="eastAsia" w:ascii="Arial" w:hAnsi="Arial" w:eastAsia="仿宋_GB2312" w:cs="Arial"/>
          <w:sz w:val="32"/>
          <w:szCs w:val="32"/>
          <w:lang w:val="en-US" w:eastAsia="zh-CN"/>
        </w:rPr>
        <w:t>，建筑业产值</w:t>
      </w:r>
      <w:r>
        <w:rPr>
          <w:rFonts w:hint="eastAsia" w:ascii="仿宋" w:hAnsi="仿宋" w:eastAsia="仿宋" w:cs="仿宋"/>
          <w:b w:val="0"/>
          <w:bCs w:val="0"/>
          <w:sz w:val="32"/>
          <w:szCs w:val="32"/>
          <w:lang w:val="en-US" w:eastAsia="zh-CN"/>
        </w:rPr>
        <w:t>3.7亿元。</w:t>
      </w:r>
    </w:p>
    <w:p>
      <w:pPr>
        <w:keepNext w:val="0"/>
        <w:keepLines w:val="0"/>
        <w:pageBreakBefore w:val="0"/>
        <w:widowControl w:val="0"/>
        <w:numPr>
          <w:ilvl w:val="0"/>
          <w:numId w:val="0"/>
        </w:numPr>
        <w:kinsoku/>
        <w:wordWrap/>
        <w:overflowPunct w:val="0"/>
        <w:topLinePunct w:val="0"/>
        <w:autoSpaceDE/>
        <w:autoSpaceDN/>
        <w:bidi w:val="0"/>
        <w:adjustRightInd/>
        <w:snapToGrid/>
        <w:spacing w:line="620" w:lineRule="exact"/>
        <w:ind w:firstLine="626" w:firstLineChars="200"/>
        <w:jc w:val="both"/>
        <w:textAlignment w:val="auto"/>
        <w:rPr>
          <w:rFonts w:hint="eastAsia" w:ascii="楷体_GB2312" w:hAnsi="楷体_GB2312" w:eastAsia="楷体_GB2312" w:cs="楷体_GB2312"/>
          <w:b w:val="0"/>
          <w:bCs w:val="0"/>
          <w:w w:val="98"/>
          <w:sz w:val="32"/>
          <w:szCs w:val="32"/>
          <w:lang w:val="en-US" w:eastAsia="zh-CN"/>
        </w:rPr>
      </w:pPr>
      <w:r>
        <w:rPr>
          <w:rFonts w:hint="eastAsia" w:ascii="楷体_GB2312" w:hAnsi="楷体_GB2312" w:eastAsia="楷体_GB2312" w:cs="楷体_GB2312"/>
          <w:b w:val="0"/>
          <w:bCs w:val="0"/>
          <w:w w:val="98"/>
          <w:sz w:val="32"/>
          <w:szCs w:val="32"/>
          <w:lang w:val="en-US" w:eastAsia="zh-CN"/>
        </w:rPr>
        <w:t>（二）全力抓好重点项目建设</w:t>
      </w:r>
    </w:p>
    <w:p>
      <w:pPr>
        <w:keepNext w:val="0"/>
        <w:keepLines w:val="0"/>
        <w:pageBreakBefore w:val="0"/>
        <w:widowControl w:val="0"/>
        <w:numPr>
          <w:ilvl w:val="0"/>
          <w:numId w:val="0"/>
        </w:numPr>
        <w:kinsoku/>
        <w:wordWrap/>
        <w:overflowPunct w:val="0"/>
        <w:topLinePunct w:val="0"/>
        <w:autoSpaceDE/>
        <w:autoSpaceDN/>
        <w:bidi w:val="0"/>
        <w:adjustRightInd/>
        <w:snapToGrid/>
        <w:spacing w:line="620" w:lineRule="exact"/>
        <w:ind w:firstLine="628" w:firstLineChars="200"/>
        <w:jc w:val="both"/>
        <w:textAlignment w:val="auto"/>
        <w:rPr>
          <w:rFonts w:hint="default" w:ascii="仿宋_GB2312" w:hAnsi="仿宋_GB2312" w:eastAsia="仿宋_GB2312" w:cs="仿宋_GB2312"/>
          <w:b w:val="0"/>
          <w:bCs w:val="0"/>
          <w:w w:val="98"/>
          <w:sz w:val="32"/>
          <w:szCs w:val="32"/>
          <w:highlight w:val="blue"/>
          <w:lang w:val="en-US" w:eastAsia="zh-CN"/>
        </w:rPr>
      </w:pPr>
      <w:r>
        <w:rPr>
          <w:rFonts w:hint="eastAsia" w:ascii="仿宋_GB2312" w:hAnsi="仿宋_GB2312" w:eastAsia="仿宋_GB2312" w:cs="仿宋_GB2312"/>
          <w:b/>
          <w:bCs/>
          <w:w w:val="98"/>
          <w:sz w:val="32"/>
          <w:szCs w:val="32"/>
          <w:lang w:val="en-US" w:eastAsia="zh-CN"/>
        </w:rPr>
        <w:t>一是加快推进交通硬件建设。</w:t>
      </w:r>
      <w:r>
        <w:rPr>
          <w:rFonts w:hint="eastAsia" w:ascii="仿宋_GB2312" w:hAnsi="仿宋_GB2312" w:eastAsia="仿宋_GB2312" w:cs="仿宋_GB2312"/>
          <w:b w:val="0"/>
          <w:bCs w:val="0"/>
          <w:w w:val="98"/>
          <w:sz w:val="32"/>
          <w:szCs w:val="32"/>
          <w:lang w:val="en-US" w:eastAsia="zh-CN"/>
        </w:rPr>
        <w:t>新建河东新区路网工程：里信北街完工通车；里信南街一施工段顺利完工，二施工段由于南里信村舞台未能拆除，暂时搁置；经十六路、甘泉街、纬十路完成总工程量的40%。续建的永兴街道路工程和朝阳新区路网工程长康路竣工通车。</w:t>
      </w:r>
    </w:p>
    <w:p>
      <w:pPr>
        <w:keepNext w:val="0"/>
        <w:keepLines w:val="0"/>
        <w:pageBreakBefore w:val="0"/>
        <w:widowControl w:val="0"/>
        <w:numPr>
          <w:ilvl w:val="0"/>
          <w:numId w:val="0"/>
        </w:numPr>
        <w:kinsoku/>
        <w:wordWrap/>
        <w:overflowPunct w:val="0"/>
        <w:topLinePunct w:val="0"/>
        <w:autoSpaceDE/>
        <w:autoSpaceDN/>
        <w:bidi w:val="0"/>
        <w:adjustRightInd/>
        <w:snapToGrid/>
        <w:spacing w:line="620" w:lineRule="exact"/>
        <w:ind w:firstLine="628" w:firstLineChars="200"/>
        <w:jc w:val="both"/>
        <w:textAlignment w:val="auto"/>
        <w:rPr>
          <w:rFonts w:hint="default" w:ascii="仿宋_GB2312" w:hAnsi="仿宋_GB2312" w:eastAsia="仿宋_GB2312" w:cs="仿宋_GB2312"/>
          <w:b w:val="0"/>
          <w:bCs w:val="0"/>
          <w:w w:val="98"/>
          <w:sz w:val="32"/>
          <w:szCs w:val="32"/>
          <w:lang w:val="en-US" w:eastAsia="zh-CN"/>
        </w:rPr>
      </w:pPr>
      <w:r>
        <w:rPr>
          <w:rFonts w:hint="eastAsia" w:ascii="仿宋_GB2312" w:hAnsi="仿宋_GB2312" w:eastAsia="仿宋_GB2312" w:cs="仿宋_GB2312"/>
          <w:b/>
          <w:bCs/>
          <w:w w:val="98"/>
          <w:sz w:val="32"/>
          <w:szCs w:val="32"/>
          <w:lang w:val="en-US" w:eastAsia="zh-CN"/>
        </w:rPr>
        <w:t>二是继续完善市民中心项目。</w:t>
      </w:r>
      <w:r>
        <w:rPr>
          <w:rFonts w:hint="eastAsia" w:ascii="仿宋_GB2312" w:hAnsi="仿宋_GB2312" w:eastAsia="仿宋_GB2312" w:cs="仿宋_GB2312"/>
          <w:b w:val="0"/>
          <w:bCs w:val="0"/>
          <w:w w:val="98"/>
          <w:sz w:val="32"/>
          <w:szCs w:val="32"/>
          <w:lang w:val="en-US" w:eastAsia="zh-CN"/>
        </w:rPr>
        <w:t>拆除原华丽港大楼并完成顶板加固，该区域内道路、绿化、硬化工程正在抓紧施工。同时对市民中心娲皇宫片区雨水管网、周边道路、空地进行了整治，增设排水管道、硬化了道路、安装了健身器材、进行了绿化，缓解周边居民雨季积水、排水不畅等问题，便捷了居民出行，使周边环境得到极大提升。</w:t>
      </w:r>
    </w:p>
    <w:p>
      <w:pPr>
        <w:keepNext w:val="0"/>
        <w:keepLines w:val="0"/>
        <w:pageBreakBefore w:val="0"/>
        <w:widowControl w:val="0"/>
        <w:numPr>
          <w:ilvl w:val="0"/>
          <w:numId w:val="0"/>
        </w:numPr>
        <w:kinsoku/>
        <w:wordWrap/>
        <w:overflowPunct w:val="0"/>
        <w:topLinePunct w:val="0"/>
        <w:autoSpaceDE/>
        <w:autoSpaceDN/>
        <w:bidi w:val="0"/>
        <w:adjustRightInd/>
        <w:snapToGrid/>
        <w:spacing w:line="620" w:lineRule="exact"/>
        <w:ind w:firstLine="628" w:firstLineChars="200"/>
        <w:jc w:val="both"/>
        <w:textAlignment w:val="auto"/>
        <w:rPr>
          <w:rFonts w:hint="eastAsia" w:ascii="仿宋_GB2312" w:hAnsi="仿宋_GB2312" w:eastAsia="仿宋_GB2312" w:cs="仿宋_GB2312"/>
          <w:b w:val="0"/>
          <w:bCs w:val="0"/>
          <w:w w:val="98"/>
          <w:sz w:val="32"/>
          <w:szCs w:val="32"/>
          <w:lang w:val="en-US" w:eastAsia="zh-CN"/>
        </w:rPr>
      </w:pPr>
      <w:r>
        <w:rPr>
          <w:rFonts w:hint="eastAsia" w:ascii="仿宋_GB2312" w:hAnsi="仿宋_GB2312" w:eastAsia="仿宋_GB2312" w:cs="仿宋_GB2312"/>
          <w:b/>
          <w:bCs/>
          <w:w w:val="98"/>
          <w:sz w:val="32"/>
          <w:szCs w:val="32"/>
          <w:lang w:val="en-US" w:eastAsia="zh-CN"/>
        </w:rPr>
        <w:t>三是完善污水处理设施。</w:t>
      </w:r>
      <w:r>
        <w:rPr>
          <w:rFonts w:hint="eastAsia" w:ascii="仿宋_GB2312" w:hAnsi="仿宋_GB2312" w:eastAsia="仿宋_GB2312" w:cs="仿宋_GB2312"/>
          <w:b w:val="0"/>
          <w:bCs w:val="0"/>
          <w:w w:val="98"/>
          <w:sz w:val="32"/>
          <w:szCs w:val="32"/>
          <w:lang w:val="en-US" w:eastAsia="zh-CN"/>
        </w:rPr>
        <w:t>持续开展建制镇污水设施建设工作，今年完成虒亭、夏店、西营三个镇区生活污水处理设施建设并投入使用。</w:t>
      </w:r>
    </w:p>
    <w:p>
      <w:pPr>
        <w:keepNext w:val="0"/>
        <w:keepLines w:val="0"/>
        <w:pageBreakBefore w:val="0"/>
        <w:widowControl w:val="0"/>
        <w:numPr>
          <w:ilvl w:val="0"/>
          <w:numId w:val="0"/>
        </w:numPr>
        <w:kinsoku/>
        <w:wordWrap/>
        <w:overflowPunct w:val="0"/>
        <w:topLinePunct w:val="0"/>
        <w:autoSpaceDE/>
        <w:autoSpaceDN/>
        <w:bidi w:val="0"/>
        <w:adjustRightInd/>
        <w:snapToGrid/>
        <w:spacing w:line="620" w:lineRule="exact"/>
        <w:ind w:firstLine="628" w:firstLineChars="200"/>
        <w:jc w:val="both"/>
        <w:textAlignment w:val="auto"/>
        <w:rPr>
          <w:rFonts w:hint="eastAsia" w:ascii="仿宋_GB2312" w:hAnsi="仿宋_GB2312" w:eastAsia="仿宋_GB2312" w:cs="仿宋_GB2312"/>
          <w:b w:val="0"/>
          <w:bCs w:val="0"/>
          <w:w w:val="98"/>
          <w:sz w:val="32"/>
          <w:szCs w:val="32"/>
          <w:lang w:val="en-US" w:eastAsia="zh-CN"/>
        </w:rPr>
      </w:pPr>
      <w:r>
        <w:rPr>
          <w:rFonts w:hint="eastAsia" w:ascii="仿宋_GB2312" w:hAnsi="仿宋_GB2312" w:eastAsia="仿宋_GB2312" w:cs="仿宋_GB2312"/>
          <w:b/>
          <w:bCs/>
          <w:w w:val="98"/>
          <w:sz w:val="32"/>
          <w:szCs w:val="32"/>
          <w:lang w:val="en-US" w:eastAsia="zh-CN"/>
        </w:rPr>
        <w:t>四是扎实开展创文巩卫。</w:t>
      </w:r>
      <w:r>
        <w:rPr>
          <w:rFonts w:hint="eastAsia" w:ascii="仿宋_GB2312" w:hAnsi="仿宋_GB2312" w:eastAsia="仿宋_GB2312" w:cs="仿宋_GB2312"/>
          <w:b w:val="0"/>
          <w:bCs w:val="0"/>
          <w:w w:val="98"/>
          <w:sz w:val="32"/>
          <w:szCs w:val="32"/>
          <w:lang w:val="en-US" w:eastAsia="zh-CN"/>
        </w:rPr>
        <w:t>按照文明城市创建和卫生县城复审工作要求，</w:t>
      </w:r>
      <w:r>
        <w:rPr>
          <w:rFonts w:hint="eastAsia" w:ascii="仿宋_GB2312" w:hAnsi="仿宋_GB2312" w:eastAsia="仿宋_GB2312" w:cs="仿宋_GB2312"/>
          <w:color w:val="auto"/>
          <w:sz w:val="32"/>
          <w:szCs w:val="32"/>
        </w:rPr>
        <w:t>根据县委县政府安排，</w:t>
      </w:r>
      <w:r>
        <w:rPr>
          <w:rFonts w:hint="eastAsia" w:ascii="仿宋_GB2312" w:hAnsi="仿宋_GB2312" w:eastAsia="仿宋_GB2312" w:cs="仿宋_GB2312"/>
          <w:color w:val="auto"/>
          <w:sz w:val="32"/>
          <w:szCs w:val="32"/>
          <w:lang w:eastAsia="zh-CN"/>
        </w:rPr>
        <w:t>对</w:t>
      </w:r>
      <w:r>
        <w:rPr>
          <w:rFonts w:hint="eastAsia" w:ascii="仿宋_GB2312" w:hAnsi="仿宋_GB2312" w:eastAsia="仿宋_GB2312" w:cs="仿宋_GB2312"/>
          <w:color w:val="auto"/>
          <w:sz w:val="32"/>
          <w:szCs w:val="32"/>
        </w:rPr>
        <w:t>南湖</w:t>
      </w:r>
      <w:r>
        <w:rPr>
          <w:rFonts w:hint="eastAsia" w:ascii="仿宋_GB2312" w:hAnsi="仿宋_GB2312" w:eastAsia="仿宋_GB2312" w:cs="仿宋_GB2312"/>
          <w:b w:val="0"/>
          <w:bCs w:val="0"/>
          <w:w w:val="98"/>
          <w:sz w:val="32"/>
          <w:szCs w:val="32"/>
          <w:lang w:val="en-US" w:eastAsia="zh-CN"/>
        </w:rPr>
        <w:t>南岸闲置空地进行了整治，清理土</w:t>
      </w:r>
      <w:r>
        <w:rPr>
          <w:rFonts w:hint="eastAsia" w:ascii="仿宋_GB2312" w:hAnsi="仿宋_GB2312" w:eastAsia="仿宋_GB2312" w:cs="仿宋_GB2312"/>
          <w:color w:val="auto"/>
          <w:sz w:val="32"/>
          <w:szCs w:val="32"/>
          <w:lang w:val="en-US" w:eastAsia="zh-CN"/>
        </w:rPr>
        <w:t>方52000m³</w:t>
      </w:r>
      <w:r>
        <w:rPr>
          <w:rFonts w:hint="eastAsia" w:ascii="仿宋_GB2312" w:hAnsi="仿宋_GB2312" w:eastAsia="仿宋_GB2312" w:cs="仿宋_GB2312"/>
          <w:b w:val="0"/>
          <w:bCs w:val="0"/>
          <w:w w:val="98"/>
          <w:sz w:val="32"/>
          <w:szCs w:val="32"/>
          <w:lang w:val="en-US" w:eastAsia="zh-CN"/>
        </w:rPr>
        <w:t>，回填土方8000m³，平整硬化场地47000㎡，设置围挡348米。同时对县城主干道路的公益广告进行维修、更新，共更新56块。</w:t>
      </w:r>
    </w:p>
    <w:p>
      <w:pPr>
        <w:keepNext w:val="0"/>
        <w:keepLines w:val="0"/>
        <w:pageBreakBefore w:val="0"/>
        <w:widowControl w:val="0"/>
        <w:numPr>
          <w:ilvl w:val="0"/>
          <w:numId w:val="0"/>
        </w:numPr>
        <w:kinsoku/>
        <w:wordWrap/>
        <w:overflowPunct w:val="0"/>
        <w:topLinePunct w:val="0"/>
        <w:autoSpaceDE/>
        <w:autoSpaceDN/>
        <w:bidi w:val="0"/>
        <w:adjustRightInd/>
        <w:snapToGrid/>
        <w:spacing w:line="620" w:lineRule="exact"/>
        <w:ind w:firstLine="626" w:firstLineChars="200"/>
        <w:jc w:val="both"/>
        <w:textAlignment w:val="auto"/>
        <w:rPr>
          <w:rFonts w:hint="eastAsia" w:ascii="楷体_GB2312" w:hAnsi="楷体_GB2312" w:eastAsia="楷体_GB2312" w:cs="楷体_GB2312"/>
          <w:b w:val="0"/>
          <w:bCs w:val="0"/>
          <w:w w:val="98"/>
          <w:sz w:val="32"/>
          <w:szCs w:val="32"/>
          <w:lang w:val="en-US" w:eastAsia="zh-CN"/>
        </w:rPr>
      </w:pPr>
      <w:r>
        <w:rPr>
          <w:rFonts w:hint="eastAsia" w:ascii="楷体_GB2312" w:hAnsi="楷体_GB2312" w:eastAsia="楷体_GB2312" w:cs="楷体_GB2312"/>
          <w:b w:val="0"/>
          <w:bCs w:val="0"/>
          <w:w w:val="98"/>
          <w:sz w:val="32"/>
          <w:szCs w:val="32"/>
          <w:lang w:val="en-US" w:eastAsia="zh-CN"/>
        </w:rPr>
        <w:t>（三）全力提升城乡人居品质</w:t>
      </w:r>
    </w:p>
    <w:p>
      <w:pPr>
        <w:keepNext w:val="0"/>
        <w:keepLines w:val="0"/>
        <w:pageBreakBefore w:val="0"/>
        <w:widowControl w:val="0"/>
        <w:numPr>
          <w:ilvl w:val="0"/>
          <w:numId w:val="0"/>
        </w:numPr>
        <w:kinsoku/>
        <w:wordWrap/>
        <w:overflowPunct w:val="0"/>
        <w:topLinePunct w:val="0"/>
        <w:autoSpaceDE/>
        <w:autoSpaceDN/>
        <w:bidi w:val="0"/>
        <w:adjustRightInd/>
        <w:snapToGrid/>
        <w:spacing w:line="620" w:lineRule="exact"/>
        <w:ind w:firstLine="628" w:firstLineChars="200"/>
        <w:jc w:val="both"/>
        <w:textAlignment w:val="auto"/>
        <w:rPr>
          <w:rFonts w:hint="eastAsia" w:ascii="仿宋_GB2312" w:hAnsi="仿宋_GB2312" w:eastAsia="仿宋_GB2312" w:cs="仿宋_GB2312"/>
          <w:b w:val="0"/>
          <w:bCs w:val="0"/>
          <w:w w:val="98"/>
          <w:sz w:val="32"/>
          <w:szCs w:val="32"/>
          <w:lang w:val="en-US" w:eastAsia="zh-CN"/>
        </w:rPr>
      </w:pPr>
      <w:r>
        <w:rPr>
          <w:rFonts w:hint="eastAsia" w:ascii="仿宋_GB2312" w:hAnsi="仿宋_GB2312" w:eastAsia="仿宋_GB2312" w:cs="仿宋_GB2312"/>
          <w:b/>
          <w:bCs/>
          <w:w w:val="98"/>
          <w:sz w:val="32"/>
          <w:szCs w:val="32"/>
          <w:lang w:val="en-US" w:eastAsia="zh-CN"/>
        </w:rPr>
        <w:t>一是做优老旧小区改造升级。</w:t>
      </w:r>
      <w:r>
        <w:rPr>
          <w:rFonts w:hint="eastAsia" w:ascii="仿宋_GB2312" w:hAnsi="仿宋_GB2312" w:eastAsia="仿宋_GB2312" w:cs="仿宋_GB2312"/>
          <w:b w:val="0"/>
          <w:bCs w:val="0"/>
          <w:w w:val="98"/>
          <w:sz w:val="32"/>
          <w:szCs w:val="32"/>
          <w:lang w:val="en-US" w:eastAsia="zh-CN"/>
        </w:rPr>
        <w:t>2023年度按计划实施矿山机械厂小区和药材公司家属院2个老旧小区改造。目前矿山机械厂完成外墙保温，外墙涂料，楼梯间抹灰粉刷，供热管道更新，屋面排水管、防护网、屋面防水层、化粪池安装，雨水管、污水管、给水管安装等工程；药材公司家属院完成外墙保温，外墙涂料，楼道间的抹灰粉刷，门窗更换等工程，2个小区均完成总工程量的80%。</w:t>
      </w:r>
    </w:p>
    <w:p>
      <w:pPr>
        <w:keepNext w:val="0"/>
        <w:keepLines w:val="0"/>
        <w:pageBreakBefore w:val="0"/>
        <w:widowControl w:val="0"/>
        <w:numPr>
          <w:ilvl w:val="0"/>
          <w:numId w:val="0"/>
        </w:numPr>
        <w:kinsoku/>
        <w:wordWrap/>
        <w:overflowPunct w:val="0"/>
        <w:topLinePunct w:val="0"/>
        <w:autoSpaceDE/>
        <w:autoSpaceDN/>
        <w:bidi w:val="0"/>
        <w:adjustRightInd/>
        <w:snapToGrid/>
        <w:spacing w:line="620" w:lineRule="exact"/>
        <w:ind w:firstLine="628" w:firstLineChars="200"/>
        <w:jc w:val="both"/>
        <w:textAlignment w:val="auto"/>
        <w:rPr>
          <w:rFonts w:hint="eastAsia" w:ascii="仿宋_GB2312" w:hAnsi="仿宋_GB2312" w:eastAsia="仿宋_GB2312" w:cs="仿宋_GB2312"/>
          <w:b w:val="0"/>
          <w:bCs w:val="0"/>
          <w:w w:val="98"/>
          <w:sz w:val="32"/>
          <w:szCs w:val="32"/>
          <w:lang w:val="en-US" w:eastAsia="zh-CN"/>
        </w:rPr>
      </w:pPr>
      <w:r>
        <w:rPr>
          <w:rFonts w:hint="eastAsia" w:ascii="仿宋_GB2312" w:hAnsi="仿宋_GB2312" w:eastAsia="仿宋_GB2312" w:cs="仿宋_GB2312"/>
          <w:b/>
          <w:bCs/>
          <w:w w:val="98"/>
          <w:sz w:val="32"/>
          <w:szCs w:val="32"/>
          <w:lang w:val="en-US" w:eastAsia="zh-CN"/>
        </w:rPr>
        <w:t>二是加快无物业小区微型改造。</w:t>
      </w:r>
      <w:r>
        <w:rPr>
          <w:rFonts w:hint="eastAsia" w:ascii="仿宋_GB2312" w:hAnsi="仿宋_GB2312" w:eastAsia="仿宋_GB2312" w:cs="仿宋_GB2312"/>
          <w:b w:val="0"/>
          <w:bCs w:val="0"/>
          <w:w w:val="98"/>
          <w:sz w:val="32"/>
          <w:szCs w:val="32"/>
          <w:lang w:val="en-US" w:eastAsia="zh-CN"/>
        </w:rPr>
        <w:t>充分发挥物业行业党委和物业企业支部核心引领作用，坚持党建引领无物业小区治理，今年共对10个无物业小区实施了微改造，初步探索出一条党建引领小区物业治理的有效路径，使小区居民的幸福感、满意度明显提升。</w:t>
      </w:r>
    </w:p>
    <w:p>
      <w:pPr>
        <w:keepNext w:val="0"/>
        <w:keepLines w:val="0"/>
        <w:pageBreakBefore w:val="0"/>
        <w:widowControl w:val="0"/>
        <w:numPr>
          <w:ilvl w:val="0"/>
          <w:numId w:val="0"/>
        </w:numPr>
        <w:kinsoku/>
        <w:wordWrap/>
        <w:overflowPunct w:val="0"/>
        <w:topLinePunct w:val="0"/>
        <w:autoSpaceDE/>
        <w:autoSpaceDN/>
        <w:bidi w:val="0"/>
        <w:adjustRightInd/>
        <w:snapToGrid/>
        <w:spacing w:line="620" w:lineRule="exact"/>
        <w:ind w:firstLine="628" w:firstLineChars="200"/>
        <w:jc w:val="both"/>
        <w:textAlignment w:val="auto"/>
        <w:rPr>
          <w:rFonts w:hint="default" w:ascii="仿宋_GB2312" w:hAnsi="仿宋_GB2312" w:eastAsia="仿宋_GB2312" w:cs="仿宋_GB2312"/>
          <w:b w:val="0"/>
          <w:bCs w:val="0"/>
          <w:w w:val="98"/>
          <w:sz w:val="32"/>
          <w:szCs w:val="32"/>
          <w:lang w:val="en-US" w:eastAsia="zh-CN"/>
        </w:rPr>
      </w:pPr>
      <w:r>
        <w:rPr>
          <w:rFonts w:hint="eastAsia" w:ascii="仿宋_GB2312" w:hAnsi="仿宋_GB2312" w:eastAsia="仿宋_GB2312" w:cs="仿宋_GB2312"/>
          <w:b/>
          <w:bCs/>
          <w:w w:val="98"/>
          <w:sz w:val="32"/>
          <w:szCs w:val="32"/>
          <w:lang w:val="en-US" w:eastAsia="zh-CN"/>
        </w:rPr>
        <w:t>三是坚持农村危房动态监测。</w:t>
      </w:r>
      <w:r>
        <w:rPr>
          <w:rFonts w:hint="eastAsia" w:ascii="仿宋_GB2312" w:hAnsi="仿宋_GB2312" w:eastAsia="仿宋_GB2312" w:cs="仿宋_GB2312"/>
          <w:b w:val="0"/>
          <w:bCs w:val="0"/>
          <w:w w:val="98"/>
          <w:sz w:val="32"/>
          <w:szCs w:val="32"/>
          <w:lang w:val="en-US" w:eastAsia="zh-CN"/>
        </w:rPr>
        <w:t>今年共排查农村“六类重点对象”住房安全隐患1606户，实施农村危房改造9户，共拨付改造资金385975元。</w:t>
      </w:r>
    </w:p>
    <w:p>
      <w:pPr>
        <w:keepNext w:val="0"/>
        <w:keepLines w:val="0"/>
        <w:pageBreakBefore w:val="0"/>
        <w:widowControl w:val="0"/>
        <w:numPr>
          <w:ilvl w:val="0"/>
          <w:numId w:val="0"/>
        </w:numPr>
        <w:kinsoku/>
        <w:wordWrap/>
        <w:overflowPunct w:val="0"/>
        <w:topLinePunct w:val="0"/>
        <w:autoSpaceDE/>
        <w:autoSpaceDN/>
        <w:bidi w:val="0"/>
        <w:adjustRightInd/>
        <w:snapToGrid/>
        <w:spacing w:line="620" w:lineRule="exact"/>
        <w:ind w:firstLine="626" w:firstLineChars="200"/>
        <w:jc w:val="both"/>
        <w:textAlignment w:val="auto"/>
        <w:rPr>
          <w:rFonts w:hint="eastAsia" w:ascii="楷体_GB2312" w:hAnsi="楷体_GB2312" w:eastAsia="楷体_GB2312" w:cs="楷体_GB2312"/>
          <w:b w:val="0"/>
          <w:bCs w:val="0"/>
          <w:w w:val="98"/>
          <w:sz w:val="32"/>
          <w:szCs w:val="32"/>
          <w:lang w:val="en-US" w:eastAsia="zh-CN"/>
        </w:rPr>
      </w:pPr>
      <w:r>
        <w:rPr>
          <w:rFonts w:hint="eastAsia" w:ascii="楷体_GB2312" w:hAnsi="楷体_GB2312" w:eastAsia="楷体_GB2312" w:cs="楷体_GB2312"/>
          <w:b w:val="0"/>
          <w:bCs w:val="0"/>
          <w:w w:val="98"/>
          <w:sz w:val="32"/>
          <w:szCs w:val="32"/>
          <w:lang w:val="en-US" w:eastAsia="zh-CN"/>
        </w:rPr>
        <w:t>（四）全力确保社会安全稳定</w:t>
      </w:r>
    </w:p>
    <w:p>
      <w:pPr>
        <w:keepNext w:val="0"/>
        <w:keepLines w:val="0"/>
        <w:pageBreakBefore w:val="0"/>
        <w:widowControl w:val="0"/>
        <w:numPr>
          <w:ilvl w:val="0"/>
          <w:numId w:val="0"/>
        </w:numPr>
        <w:kinsoku/>
        <w:wordWrap/>
        <w:overflowPunct w:val="0"/>
        <w:topLinePunct w:val="0"/>
        <w:autoSpaceDE/>
        <w:autoSpaceDN/>
        <w:bidi w:val="0"/>
        <w:adjustRightInd/>
        <w:snapToGrid/>
        <w:spacing w:line="620" w:lineRule="exact"/>
        <w:ind w:firstLine="628" w:firstLineChars="200"/>
        <w:jc w:val="both"/>
        <w:textAlignment w:val="auto"/>
        <w:rPr>
          <w:rFonts w:hint="default" w:ascii="仿宋_GB2312" w:hAnsi="仿宋_GB2312" w:eastAsia="仿宋_GB2312" w:cs="仿宋_GB2312"/>
          <w:b w:val="0"/>
          <w:bCs w:val="0"/>
          <w:w w:val="98"/>
          <w:sz w:val="32"/>
          <w:szCs w:val="32"/>
          <w:highlight w:val="blue"/>
          <w:lang w:val="en-US" w:eastAsia="zh-CN"/>
        </w:rPr>
      </w:pPr>
      <w:r>
        <w:rPr>
          <w:rFonts w:hint="eastAsia" w:ascii="仿宋_GB2312" w:hAnsi="仿宋_GB2312" w:eastAsia="仿宋_GB2312" w:cs="仿宋_GB2312"/>
          <w:b/>
          <w:bCs/>
          <w:w w:val="98"/>
          <w:sz w:val="32"/>
          <w:szCs w:val="32"/>
          <w:lang w:val="en-US" w:eastAsia="zh-CN"/>
        </w:rPr>
        <w:t>一是全力确保房地产市场健康稳定。</w:t>
      </w:r>
      <w:r>
        <w:rPr>
          <w:rFonts w:hint="eastAsia" w:ascii="仿宋_GB2312" w:hAnsi="仿宋_GB2312" w:eastAsia="仿宋_GB2312" w:cs="仿宋_GB2312"/>
          <w:b w:val="0"/>
          <w:bCs w:val="0"/>
          <w:w w:val="98"/>
          <w:sz w:val="32"/>
          <w:szCs w:val="32"/>
          <w:lang w:val="en-US" w:eastAsia="zh-CN"/>
        </w:rPr>
        <w:t>今年来，我局将“保交楼、保民生、保稳定”作为推进房地产市场平稳健康发展的首要目标，通过举办房展会等活动，刺激房地产需求复苏；加强原有和新建商品房项目预售资金监管，实现风险项目“零新增”；做好舆情引导和处置工作，今年在县委、县政府的领导下，有效推进风险楼盘建设，正确引导舆论走向。在县委、县政府的领导下，统筹协调供水、供热、供气、供电等企业积极帮助书香水韵和浅水湾2个房地产开发项目解决实际困难，推动项目按期交房；持续推进整治规范房地产市场秩序三年行动，开展“双随机、一公开”执法检查，规范行业秩序，做好安全监管。加强保障性住房管理，完成公共租赁住房入户调查1014户，人才公寓入户调查21户，复核1138户，收取租金4089819.74元；公开分配和美苑二期经济适用房53套。</w:t>
      </w:r>
    </w:p>
    <w:p>
      <w:pPr>
        <w:keepNext w:val="0"/>
        <w:keepLines w:val="0"/>
        <w:pageBreakBefore w:val="0"/>
        <w:widowControl w:val="0"/>
        <w:numPr>
          <w:ilvl w:val="0"/>
          <w:numId w:val="0"/>
        </w:numPr>
        <w:kinsoku/>
        <w:wordWrap/>
        <w:overflowPunct w:val="0"/>
        <w:topLinePunct w:val="0"/>
        <w:autoSpaceDE/>
        <w:autoSpaceDN/>
        <w:bidi w:val="0"/>
        <w:adjustRightInd/>
        <w:snapToGrid/>
        <w:spacing w:line="620" w:lineRule="exact"/>
        <w:ind w:firstLine="628"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w w:val="98"/>
          <w:sz w:val="32"/>
          <w:szCs w:val="32"/>
          <w:lang w:val="en-US" w:eastAsia="zh-CN"/>
        </w:rPr>
        <w:t>二是全力抓好安全生产工作。</w:t>
      </w:r>
      <w:r>
        <w:rPr>
          <w:rFonts w:hint="eastAsia" w:ascii="仿宋_GB2312" w:hAnsi="仿宋_GB2312" w:eastAsia="仿宋_GB2312" w:cs="仿宋_GB2312"/>
          <w:b w:val="0"/>
          <w:bCs w:val="0"/>
          <w:w w:val="98"/>
          <w:sz w:val="32"/>
          <w:szCs w:val="32"/>
          <w:lang w:val="en-US" w:eastAsia="zh-CN"/>
        </w:rPr>
        <w:t>组织召开全县住建系统安全生产工作会，明确要求，细化责任，确保住建领域安全平稳。</w:t>
      </w:r>
      <w:r>
        <w:rPr>
          <w:rFonts w:hint="eastAsia" w:ascii="仿宋_GB2312" w:hAnsi="仿宋_GB2312" w:eastAsia="仿宋_GB2312" w:cs="仿宋_GB2312"/>
          <w:b/>
          <w:bCs/>
          <w:w w:val="98"/>
          <w:sz w:val="32"/>
          <w:szCs w:val="32"/>
          <w:lang w:val="en-US" w:eastAsia="zh-CN"/>
        </w:rPr>
        <w:t>把好建筑施工安全生产关口。</w:t>
      </w:r>
      <w:r>
        <w:rPr>
          <w:rFonts w:hint="eastAsia" w:ascii="仿宋_GB2312" w:hAnsi="仿宋_GB2312" w:eastAsia="仿宋_GB2312" w:cs="仿宋_GB2312"/>
          <w:b w:val="0"/>
          <w:bCs w:val="0"/>
          <w:w w:val="98"/>
          <w:sz w:val="32"/>
          <w:szCs w:val="32"/>
          <w:lang w:val="en-US" w:eastAsia="zh-CN"/>
        </w:rPr>
        <w:t>每季度定期召开建筑施工安全生产专项会议，以“时时放心不下”的态度严把安全生产工作。开展全县住建领域反“三违”专项整治行动和建筑行业安全生产百日集中整治专项行动，行动开展以来，每天至少对一个在建项目或施工企业进行安全检查，共计检查200</w:t>
      </w:r>
      <w:r>
        <w:rPr>
          <w:rFonts w:hint="eastAsia" w:ascii="Arial" w:hAnsi="Arial" w:eastAsia="仿宋_GB2312" w:cs="Arial"/>
          <w:b w:val="0"/>
          <w:bCs w:val="0"/>
          <w:w w:val="98"/>
          <w:sz w:val="32"/>
          <w:szCs w:val="32"/>
          <w:lang w:val="en-US" w:eastAsia="zh-CN"/>
        </w:rPr>
        <w:t>余</w:t>
      </w:r>
      <w:r>
        <w:rPr>
          <w:rFonts w:hint="eastAsia" w:ascii="仿宋_GB2312" w:hAnsi="仿宋_GB2312" w:eastAsia="仿宋_GB2312" w:cs="仿宋_GB2312"/>
          <w:b w:val="0"/>
          <w:bCs w:val="0"/>
          <w:w w:val="98"/>
          <w:sz w:val="32"/>
          <w:szCs w:val="32"/>
          <w:lang w:val="en-US" w:eastAsia="zh-CN"/>
        </w:rPr>
        <w:t>次，排查隐患714条。对14个在监项目实施质量监督，竣工验收合格率达100%，出具工程质量监督报告4份。登记施工升降机使用28台、塔吊15台。7月份配合省住建厅对我县文馨苑、县医院朝阳院区、楠荷湾3个项目开展2023年建筑市场“双随机、一公开”执法检查，共查出27 条问题，并全部整改完成；</w:t>
      </w:r>
      <w:r>
        <w:rPr>
          <w:rFonts w:hint="eastAsia" w:ascii="仿宋_GB2312" w:hAnsi="仿宋_GB2312" w:eastAsia="仿宋_GB2312" w:cs="仿宋_GB2312"/>
          <w:b/>
          <w:bCs/>
          <w:w w:val="98"/>
          <w:sz w:val="32"/>
          <w:szCs w:val="32"/>
          <w:lang w:val="en-US" w:eastAsia="zh-CN"/>
        </w:rPr>
        <w:t>排查整治城镇燃气安全隐患。</w:t>
      </w:r>
      <w:r>
        <w:rPr>
          <w:rFonts w:hint="eastAsia" w:ascii="仿宋_GB2312" w:hAnsi="仿宋_GB2312" w:eastAsia="仿宋_GB2312" w:cs="仿宋_GB2312"/>
          <w:color w:val="auto"/>
          <w:sz w:val="32"/>
          <w:szCs w:val="32"/>
          <w:lang w:val="en-US" w:eastAsia="zh-CN"/>
        </w:rPr>
        <w:t>深刻汲取宁夏燃气爆炸事故的教训，对全县餐饮企业展开燃气专项整治联合行动，共排查瓶装液化气用户1100户，暂扣过期液化气瓶92只，取缔在就餐区使用液化气瓶直接加热的餐饮用户3户。对全县</w:t>
      </w:r>
      <w:r>
        <w:rPr>
          <w:rFonts w:hint="eastAsia" w:ascii="仿宋_GB2312" w:hAnsi="仿宋_GB2312" w:eastAsia="仿宋_GB2312" w:cs="仿宋_GB2312"/>
          <w:b w:val="0"/>
          <w:bCs w:val="0"/>
          <w:w w:val="98"/>
          <w:sz w:val="32"/>
          <w:szCs w:val="32"/>
          <w:lang w:val="en-US" w:eastAsia="zh-CN"/>
        </w:rPr>
        <w:t>5家燃气企业、4个汽车加气站、2家瓶装液化气公司</w:t>
      </w:r>
      <w:r>
        <w:rPr>
          <w:rFonts w:hint="eastAsia" w:ascii="仿宋_GB2312" w:hAnsi="仿宋_GB2312" w:eastAsia="仿宋_GB2312" w:cs="仿宋_GB2312"/>
          <w:color w:val="auto"/>
          <w:sz w:val="32"/>
          <w:szCs w:val="32"/>
          <w:lang w:val="en-US" w:eastAsia="zh-CN"/>
        </w:rPr>
        <w:t>进行三次专家会诊，共下达安全隐患通知书41份，排查隐患210余条。根据上级安排，</w:t>
      </w:r>
      <w:r>
        <w:rPr>
          <w:rFonts w:hint="eastAsia" w:ascii="仿宋_GB2312" w:hAnsi="仿宋_GB2312" w:eastAsia="仿宋_GB2312" w:cs="仿宋_GB2312"/>
          <w:b w:val="0"/>
          <w:bCs w:val="0"/>
          <w:w w:val="98"/>
          <w:sz w:val="32"/>
          <w:szCs w:val="32"/>
          <w:lang w:val="en-US" w:eastAsia="zh-CN"/>
        </w:rPr>
        <w:t>开展全县燃气安全生产百日集中整治专项行动，进一步压实企业主体责任，行业监管责任和各镇属地责任；</w:t>
      </w:r>
      <w:r>
        <w:rPr>
          <w:rFonts w:hint="eastAsia" w:ascii="仿宋_GB2312" w:hAnsi="仿宋_GB2312" w:eastAsia="仿宋_GB2312" w:cs="仿宋_GB2312"/>
          <w:b/>
          <w:bCs/>
          <w:w w:val="98"/>
          <w:sz w:val="32"/>
          <w:szCs w:val="32"/>
          <w:lang w:val="en-US" w:eastAsia="zh-CN"/>
        </w:rPr>
        <w:t>开展自建房屋安全隐患排查。</w:t>
      </w:r>
      <w:r>
        <w:rPr>
          <w:rFonts w:hint="eastAsia" w:ascii="仿宋_GB2312" w:hAnsi="仿宋_GB2312" w:eastAsia="仿宋_GB2312" w:cs="仿宋_GB2312"/>
          <w:b w:val="0"/>
          <w:bCs w:val="0"/>
          <w:w w:val="98"/>
          <w:sz w:val="32"/>
          <w:szCs w:val="32"/>
          <w:lang w:val="en-US" w:eastAsia="zh-CN"/>
        </w:rPr>
        <w:t>按照中央、省、市、县要求开展了自建房专项整治工作，</w:t>
      </w:r>
      <w:r>
        <w:rPr>
          <w:rFonts w:hint="eastAsia" w:ascii="仿宋_GB2312" w:hAnsi="仿宋_GB2312" w:eastAsia="仿宋_GB2312" w:cs="仿宋_GB2312"/>
          <w:b w:val="0"/>
          <w:bCs w:val="0"/>
          <w:color w:val="auto"/>
          <w:sz w:val="32"/>
          <w:szCs w:val="32"/>
          <w:lang w:val="en-US" w:eastAsia="zh-CN"/>
        </w:rPr>
        <w:t>成立九个督导组全</w:t>
      </w:r>
      <w:r>
        <w:rPr>
          <w:rFonts w:hint="eastAsia" w:ascii="仿宋_GB2312" w:hAnsi="仿宋_GB2312" w:eastAsia="仿宋_GB2312" w:cs="仿宋_GB2312"/>
          <w:color w:val="auto"/>
          <w:sz w:val="32"/>
          <w:szCs w:val="32"/>
          <w:lang w:val="en-US" w:eastAsia="zh-CN"/>
        </w:rPr>
        <w:t>程监督各镇自建房隐患排查工作开展情况，目前完成经营性自建房3107户的排查工作，排查隐患14处，全部采取措施，清人停用。</w:t>
      </w:r>
      <w:r>
        <w:rPr>
          <w:rFonts w:hint="eastAsia" w:ascii="仿宋_GB2312" w:hAnsi="仿宋_GB2312" w:eastAsia="仿宋_GB2312" w:cs="仿宋_GB2312"/>
          <w:color w:val="auto"/>
          <w:sz w:val="32"/>
          <w:szCs w:val="32"/>
        </w:rPr>
        <w:t>完成其他自建房</w:t>
      </w:r>
      <w:r>
        <w:rPr>
          <w:rFonts w:hint="eastAsia" w:ascii="仿宋_GB2312" w:hAnsi="仿宋_GB2312" w:eastAsia="仿宋_GB2312" w:cs="仿宋_GB2312"/>
          <w:color w:val="auto"/>
          <w:sz w:val="32"/>
          <w:szCs w:val="32"/>
          <w:lang w:val="en-US" w:eastAsia="zh-CN"/>
        </w:rPr>
        <w:t>14.8万</w:t>
      </w:r>
      <w:r>
        <w:rPr>
          <w:rFonts w:hint="eastAsia" w:ascii="仿宋_GB2312" w:hAnsi="仿宋_GB2312" w:eastAsia="仿宋_GB2312" w:cs="仿宋_GB2312"/>
          <w:color w:val="auto"/>
          <w:sz w:val="32"/>
          <w:szCs w:val="32"/>
        </w:rPr>
        <w:t>栋</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排查录入</w:t>
      </w:r>
      <w:r>
        <w:rPr>
          <w:rFonts w:hint="eastAsia" w:ascii="仿宋_GB2312" w:hAnsi="仿宋_GB2312" w:eastAsia="仿宋_GB2312" w:cs="仿宋_GB2312"/>
          <w:color w:val="auto"/>
          <w:sz w:val="32"/>
          <w:szCs w:val="32"/>
          <w:lang w:val="en-US" w:eastAsia="zh-CN"/>
        </w:rPr>
        <w:t>工作</w:t>
      </w:r>
      <w:r>
        <w:rPr>
          <w:rFonts w:hint="eastAsia" w:ascii="仿宋_GB2312" w:hAnsi="仿宋_GB2312" w:eastAsia="仿宋_GB2312" w:cs="仿宋_GB2312"/>
          <w:color w:val="auto"/>
          <w:sz w:val="32"/>
          <w:szCs w:val="32"/>
        </w:rPr>
        <w:t>，对存在安全隐患</w:t>
      </w:r>
      <w:r>
        <w:rPr>
          <w:rFonts w:hint="eastAsia" w:ascii="仿宋_GB2312" w:hAnsi="仿宋_GB2312" w:eastAsia="仿宋_GB2312" w:cs="仿宋_GB2312"/>
          <w:color w:val="auto"/>
          <w:sz w:val="32"/>
          <w:szCs w:val="32"/>
          <w:lang w:val="en-US" w:eastAsia="zh-CN"/>
        </w:rPr>
        <w:t>的496户房屋</w:t>
      </w:r>
      <w:r>
        <w:rPr>
          <w:rFonts w:hint="eastAsia" w:ascii="仿宋_GB2312" w:hAnsi="仿宋_GB2312" w:eastAsia="仿宋_GB2312" w:cs="仿宋_GB2312"/>
          <w:color w:val="auto"/>
          <w:sz w:val="32"/>
          <w:szCs w:val="32"/>
        </w:rPr>
        <w:t>全部</w:t>
      </w:r>
      <w:r>
        <w:rPr>
          <w:rFonts w:hint="eastAsia" w:ascii="仿宋_GB2312" w:hAnsi="仿宋_GB2312" w:eastAsia="仿宋_GB2312" w:cs="仿宋_GB2312"/>
          <w:color w:val="auto"/>
          <w:sz w:val="32"/>
          <w:szCs w:val="32"/>
          <w:lang w:val="en-US" w:eastAsia="zh-CN"/>
        </w:rPr>
        <w:t>进行了逐户安全鉴定，共有C、D级房屋322栋，全部推送各镇实施管控；</w:t>
      </w:r>
      <w:r>
        <w:rPr>
          <w:rFonts w:hint="eastAsia" w:ascii="仿宋_GB2312" w:hAnsi="仿宋_GB2312" w:eastAsia="仿宋_GB2312" w:cs="仿宋_GB2312"/>
          <w:b/>
          <w:bCs/>
          <w:color w:val="auto"/>
          <w:sz w:val="32"/>
          <w:szCs w:val="32"/>
          <w:lang w:val="en-US" w:eastAsia="zh-CN"/>
        </w:rPr>
        <w:t>排查整治市政运营安全隐患。</w:t>
      </w:r>
      <w:r>
        <w:rPr>
          <w:rFonts w:hint="eastAsia" w:ascii="仿宋_GB2312" w:hAnsi="仿宋_GB2312" w:eastAsia="仿宋_GB2312" w:cs="仿宋_GB2312"/>
          <w:b w:val="0"/>
          <w:bCs w:val="0"/>
          <w:color w:val="auto"/>
          <w:sz w:val="32"/>
          <w:szCs w:val="32"/>
          <w:lang w:val="en-US" w:eastAsia="zh-CN"/>
        </w:rPr>
        <w:t>对全县各市政运营单位实施两次专家会诊，查处一般安全隐患70条，并全部整改完成。督促各企业建立健全安全生产制度，制定应急预案，加强</w:t>
      </w:r>
      <w:r>
        <w:rPr>
          <w:rFonts w:hint="eastAsia" w:ascii="仿宋_GB2312" w:hAnsi="仿宋_GB2312" w:eastAsia="仿宋_GB2312" w:cs="仿宋_GB2312"/>
          <w:sz w:val="32"/>
          <w:szCs w:val="32"/>
          <w:lang w:val="en-US" w:eastAsia="zh-CN"/>
        </w:rPr>
        <w:t>受限空间作业尤其是动火、动土、高空等特种作业的管理，积极组织开展受限空间作业人员培训，强化安全意识，提升安全技能；</w:t>
      </w:r>
      <w:r>
        <w:rPr>
          <w:rFonts w:hint="eastAsia" w:ascii="仿宋_GB2312" w:hAnsi="仿宋_GB2312" w:eastAsia="仿宋_GB2312" w:cs="仿宋_GB2312"/>
          <w:b/>
          <w:bCs/>
          <w:sz w:val="32"/>
          <w:szCs w:val="32"/>
          <w:lang w:val="en-US" w:eastAsia="zh-CN"/>
        </w:rPr>
        <w:t>加强小区物业安全管理。</w:t>
      </w:r>
      <w:r>
        <w:rPr>
          <w:rFonts w:hint="eastAsia" w:ascii="仿宋_GB2312" w:hAnsi="仿宋_GB2312" w:eastAsia="仿宋_GB2312" w:cs="仿宋_GB2312"/>
          <w:b w:val="0"/>
          <w:bCs w:val="0"/>
          <w:sz w:val="32"/>
          <w:szCs w:val="32"/>
          <w:lang w:val="en-US" w:eastAsia="zh-CN"/>
        </w:rPr>
        <w:t>住宅物业管理事关群众生活品势，事关县城安全运行和社会稳定。积极推动物业企业服务升级，明确职责清单，压实工作责任。落实行业监管职能，我局相关股室及时对小区内电动自行车充电车棚以及全县41个高层住宅建筑进行消防安全检查，查处安全隐患，推动县城管理服务向基层延伸。</w:t>
      </w:r>
    </w:p>
    <w:p>
      <w:pPr>
        <w:keepNext w:val="0"/>
        <w:keepLines w:val="0"/>
        <w:pageBreakBefore w:val="0"/>
        <w:widowControl w:val="0"/>
        <w:numPr>
          <w:ilvl w:val="0"/>
          <w:numId w:val="0"/>
        </w:numPr>
        <w:kinsoku/>
        <w:wordWrap/>
        <w:overflowPunct w:val="0"/>
        <w:topLinePunct w:val="0"/>
        <w:autoSpaceDE/>
        <w:autoSpaceDN/>
        <w:bidi w:val="0"/>
        <w:adjustRightInd/>
        <w:snapToGrid/>
        <w:spacing w:line="620" w:lineRule="exact"/>
        <w:ind w:firstLine="642" w:firstLineChars="200"/>
        <w:jc w:val="both"/>
        <w:textAlignment w:val="auto"/>
        <w:rPr>
          <w:rFonts w:hint="eastAsia" w:ascii="Arial" w:hAnsi="Arial" w:eastAsia="仿宋_GB2312" w:cs="Arial"/>
          <w:b w:val="0"/>
          <w:bCs w:val="0"/>
          <w:sz w:val="32"/>
          <w:szCs w:val="32"/>
          <w:lang w:val="en-US" w:eastAsia="zh-CN"/>
        </w:rPr>
      </w:pPr>
      <w:r>
        <w:rPr>
          <w:rFonts w:hint="eastAsia" w:ascii="仿宋_GB2312" w:hAnsi="仿宋_GB2312" w:eastAsia="仿宋_GB2312" w:cs="仿宋_GB2312"/>
          <w:b/>
          <w:bCs/>
          <w:sz w:val="32"/>
          <w:szCs w:val="32"/>
          <w:lang w:val="en-US" w:eastAsia="zh-CN"/>
        </w:rPr>
        <w:t>三是积极回应群众信访事项。</w:t>
      </w:r>
      <w:r>
        <w:rPr>
          <w:rFonts w:hint="eastAsia" w:ascii="仿宋_GB2312" w:hAnsi="仿宋_GB2312" w:eastAsia="仿宋_GB2312" w:cs="仿宋_GB2312"/>
          <w:b w:val="0"/>
          <w:bCs w:val="0"/>
          <w:sz w:val="32"/>
          <w:szCs w:val="32"/>
          <w:lang w:val="en-US" w:eastAsia="zh-CN"/>
        </w:rPr>
        <w:t>今年共接受国家信访网上投诉50件，12345平台工单560余条、13710平台45条，全部完成答复，做到件件有回复，事事有回应</w:t>
      </w:r>
      <w:r>
        <w:rPr>
          <w:rFonts w:hint="eastAsia" w:ascii="Arial" w:hAnsi="Arial" w:eastAsia="仿宋_GB2312" w:cs="Arial"/>
          <w:b w:val="0"/>
          <w:bCs w:val="0"/>
          <w:sz w:val="32"/>
          <w:szCs w:val="32"/>
          <w:lang w:val="en-US" w:eastAsia="zh-CN"/>
        </w:rPr>
        <w:t>。</w:t>
      </w:r>
    </w:p>
    <w:p>
      <w:pPr>
        <w:keepNext w:val="0"/>
        <w:keepLines w:val="0"/>
        <w:pageBreakBefore w:val="0"/>
        <w:widowControl w:val="0"/>
        <w:numPr>
          <w:ilvl w:val="0"/>
          <w:numId w:val="2"/>
        </w:numPr>
        <w:kinsoku/>
        <w:wordWrap/>
        <w:overflowPunct w:val="0"/>
        <w:topLinePunct w:val="0"/>
        <w:autoSpaceDE/>
        <w:autoSpaceDN/>
        <w:bidi w:val="0"/>
        <w:adjustRightInd/>
        <w:snapToGrid/>
        <w:spacing w:line="620" w:lineRule="exact"/>
        <w:ind w:firstLine="626"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w w:val="98"/>
          <w:sz w:val="32"/>
          <w:szCs w:val="32"/>
          <w:lang w:val="en-US" w:eastAsia="zh-CN"/>
        </w:rPr>
        <w:t>全力加强建筑行业监管</w:t>
      </w:r>
    </w:p>
    <w:p>
      <w:pPr>
        <w:keepNext w:val="0"/>
        <w:keepLines w:val="0"/>
        <w:pageBreakBefore w:val="0"/>
        <w:widowControl w:val="0"/>
        <w:numPr>
          <w:ilvl w:val="0"/>
          <w:numId w:val="0"/>
        </w:numPr>
        <w:kinsoku/>
        <w:wordWrap/>
        <w:overflowPunct w:val="0"/>
        <w:topLinePunct w:val="0"/>
        <w:autoSpaceDE/>
        <w:autoSpaceDN/>
        <w:bidi w:val="0"/>
        <w:adjustRightInd/>
        <w:snapToGrid/>
        <w:spacing w:line="62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严格落实建筑市场监管主体责任，进一步规范建筑市场秩序，推进建业发展。</w:t>
      </w:r>
      <w:r>
        <w:rPr>
          <w:rFonts w:hint="eastAsia" w:ascii="仿宋_GB2312" w:hAnsi="仿宋_GB2312" w:eastAsia="仿宋_GB2312" w:cs="仿宋_GB2312"/>
          <w:b w:val="0"/>
          <w:bCs w:val="0"/>
          <w:sz w:val="32"/>
          <w:szCs w:val="32"/>
          <w:highlight w:val="none"/>
          <w:lang w:val="en-US" w:eastAsia="zh-CN"/>
        </w:rPr>
        <w:t>结合文明城市创建和卫生县城复审工作，推动建筑施工工地标准化建设，规范整治建筑工地围挡。按照扬尘治理“六个百分百”标准，对所有在建建筑工地进行扬尘治理评价，填写评价表31份。落实海绵城市工作要求，编制完成海绵城市和防洪排涝2个专项规划，完成海绵城市专项设计专家评审7个项目，验收海绵城市项目1个。积极推动绿色建筑发展，加强绿色建筑标准和认证建设，规范绿色建筑设计和施工，全县新建建筑55.42万平米，全部达到绿色建筑标准，绿建占比100%，完成建筑节能专项验收2个。</w:t>
      </w:r>
      <w:r>
        <w:rPr>
          <w:rFonts w:hint="eastAsia" w:ascii="仿宋_GB2312" w:hAnsi="仿宋_GB2312" w:eastAsia="仿宋_GB2312" w:cs="仿宋_GB2312"/>
          <w:b w:val="0"/>
          <w:bCs w:val="0"/>
          <w:sz w:val="32"/>
          <w:szCs w:val="32"/>
          <w:lang w:val="en-US" w:eastAsia="zh-CN"/>
        </w:rPr>
        <w:t>加强相关工程招标投标活动监管，强化招投标事中事后监督，严厉打击招标投标环节违法违规行为。截至目前，监督房屋建筑和市政基础设施工程公开招标9项，中标总价17828.73915万元，公开招标率100%，直接发包备案项目9项，总发包价44561.415万元。</w:t>
      </w:r>
    </w:p>
    <w:p>
      <w:pPr>
        <w:keepNext w:val="0"/>
        <w:keepLines w:val="0"/>
        <w:pageBreakBefore w:val="0"/>
        <w:widowControl w:val="0"/>
        <w:numPr>
          <w:ilvl w:val="0"/>
          <w:numId w:val="0"/>
        </w:numPr>
        <w:kinsoku/>
        <w:wordWrap/>
        <w:overflowPunct w:val="0"/>
        <w:topLinePunct w:val="0"/>
        <w:autoSpaceDE/>
        <w:autoSpaceDN/>
        <w:bidi w:val="0"/>
        <w:adjustRightInd/>
        <w:snapToGrid/>
        <w:spacing w:line="620" w:lineRule="exact"/>
        <w:ind w:firstLine="626" w:firstLineChars="200"/>
        <w:jc w:val="both"/>
        <w:textAlignment w:val="auto"/>
        <w:rPr>
          <w:rFonts w:hint="eastAsia" w:ascii="楷体_GB2312" w:hAnsi="楷体_GB2312" w:eastAsia="楷体_GB2312" w:cs="楷体_GB2312"/>
          <w:b w:val="0"/>
          <w:bCs w:val="0"/>
          <w:w w:val="98"/>
          <w:sz w:val="32"/>
          <w:szCs w:val="32"/>
          <w:lang w:val="en-US" w:eastAsia="zh-CN"/>
        </w:rPr>
      </w:pPr>
      <w:r>
        <w:rPr>
          <w:rFonts w:hint="eastAsia" w:ascii="楷体_GB2312" w:hAnsi="楷体_GB2312" w:eastAsia="楷体_GB2312" w:cs="楷体_GB2312"/>
          <w:b w:val="0"/>
          <w:bCs w:val="0"/>
          <w:w w:val="98"/>
          <w:sz w:val="32"/>
          <w:szCs w:val="32"/>
          <w:lang w:val="en-US" w:eastAsia="zh-CN"/>
        </w:rPr>
        <w:t>（六）不断加强法治建设</w:t>
      </w:r>
    </w:p>
    <w:p>
      <w:pPr>
        <w:keepNext w:val="0"/>
        <w:keepLines w:val="0"/>
        <w:pageBreakBefore w:val="0"/>
        <w:widowControl w:val="0"/>
        <w:numPr>
          <w:ilvl w:val="0"/>
          <w:numId w:val="0"/>
        </w:numPr>
        <w:kinsoku/>
        <w:wordWrap/>
        <w:overflowPunct w:val="0"/>
        <w:topLinePunct w:val="0"/>
        <w:autoSpaceDE/>
        <w:autoSpaceDN/>
        <w:bidi w:val="0"/>
        <w:adjustRightInd/>
        <w:snapToGrid/>
        <w:spacing w:line="620" w:lineRule="exact"/>
        <w:ind w:firstLine="628"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w w:val="98"/>
          <w:sz w:val="32"/>
          <w:szCs w:val="32"/>
          <w:lang w:val="en-US" w:eastAsia="zh-CN"/>
        </w:rPr>
        <w:t>一是强化组织领导。</w:t>
      </w:r>
      <w:r>
        <w:rPr>
          <w:rFonts w:hint="eastAsia" w:ascii="仿宋_GB2312" w:hAnsi="仿宋_GB2312" w:eastAsia="仿宋_GB2312" w:cs="仿宋_GB2312"/>
          <w:b w:val="0"/>
          <w:bCs w:val="0"/>
          <w:w w:val="98"/>
          <w:sz w:val="32"/>
          <w:szCs w:val="32"/>
          <w:lang w:val="en-US" w:eastAsia="zh-CN"/>
        </w:rPr>
        <w:t>我局进一步强化法治组织领导，</w:t>
      </w:r>
      <w:r>
        <w:rPr>
          <w:rFonts w:hint="eastAsia" w:ascii="仿宋_GB2312" w:hAnsi="仿宋_GB2312" w:eastAsia="仿宋_GB2312" w:cs="仿宋_GB2312"/>
          <w:b w:val="0"/>
          <w:bCs w:val="0"/>
          <w:sz w:val="32"/>
          <w:szCs w:val="32"/>
          <w:lang w:val="en-US" w:eastAsia="zh-CN"/>
        </w:rPr>
        <w:t>成立“法治建设”工作领导组，全面协调法治建设和“八五”普法各项工作任务。</w:t>
      </w:r>
      <w:r>
        <w:rPr>
          <w:rFonts w:hint="eastAsia" w:ascii="仿宋_GB2312" w:hAnsi="仿宋_GB2312" w:eastAsia="仿宋_GB2312" w:cs="仿宋_GB2312"/>
          <w:b/>
          <w:bCs/>
          <w:sz w:val="32"/>
          <w:szCs w:val="32"/>
          <w:lang w:val="en-US" w:eastAsia="zh-CN"/>
        </w:rPr>
        <w:t>二是坚持依法行政。</w:t>
      </w:r>
      <w:r>
        <w:rPr>
          <w:rFonts w:hint="eastAsia" w:ascii="仿宋_GB2312" w:hAnsi="仿宋_GB2312" w:eastAsia="仿宋_GB2312" w:cs="仿宋_GB2312"/>
          <w:b w:val="0"/>
          <w:bCs w:val="0"/>
          <w:sz w:val="32"/>
          <w:szCs w:val="32"/>
          <w:lang w:val="en-US" w:eastAsia="zh-CN"/>
        </w:rPr>
        <w:t>将法治建设和“八五”普法纳入年度工作计划，制定了2023年度监管执法检查计划，进一步深化“放管服”改革，持续优化营商环境，提高运用法治思维和法治方式解决问题的能力。2023年共应诉民事案件3件，起诉上诉民事案件2件。行政处罚6件，罚款金额496000元。参与了长治市城市管理综合行政执法局和长治市司法局组织的案卷评查工作，并上报了4套案卷接受各位专家的评查。</w:t>
      </w:r>
      <w:r>
        <w:rPr>
          <w:rFonts w:hint="eastAsia" w:ascii="仿宋_GB2312" w:hAnsi="仿宋_GB2312" w:eastAsia="仿宋_GB2312" w:cs="仿宋_GB2312"/>
          <w:b/>
          <w:bCs/>
          <w:sz w:val="32"/>
          <w:szCs w:val="32"/>
          <w:lang w:val="en-US" w:eastAsia="zh-CN"/>
        </w:rPr>
        <w:t>三是加强普法宣传。</w:t>
      </w:r>
      <w:r>
        <w:rPr>
          <w:rFonts w:hint="eastAsia" w:ascii="仿宋_GB2312" w:hAnsi="仿宋_GB2312" w:eastAsia="仿宋_GB2312" w:cs="仿宋_GB2312"/>
          <w:b w:val="0"/>
          <w:bCs w:val="0"/>
          <w:sz w:val="32"/>
          <w:szCs w:val="32"/>
          <w:lang w:val="en-US" w:eastAsia="zh-CN"/>
        </w:rPr>
        <w:t>坚持以习近平新时代中国特色社会主义思想为指导，深入学习贯彻宣传习近平法治思想，共集中宣传《建筑法》、《招标投标法》、《城市房地产管理法》、《消防法》、《民法典》等法律法规四次，现场接待群众咨询200余人次，发放宣传资料手册3000余份。</w:t>
      </w:r>
    </w:p>
    <w:p>
      <w:pPr>
        <w:keepNext w:val="0"/>
        <w:keepLines w:val="0"/>
        <w:pageBreakBefore w:val="0"/>
        <w:widowControl w:val="0"/>
        <w:numPr>
          <w:ilvl w:val="0"/>
          <w:numId w:val="0"/>
        </w:numPr>
        <w:kinsoku/>
        <w:wordWrap/>
        <w:overflowPunct w:val="0"/>
        <w:topLinePunct w:val="0"/>
        <w:autoSpaceDE/>
        <w:autoSpaceDN/>
        <w:bidi w:val="0"/>
        <w:adjustRightInd/>
        <w:snapToGrid/>
        <w:spacing w:line="620" w:lineRule="exact"/>
        <w:ind w:firstLine="626" w:firstLineChars="200"/>
        <w:jc w:val="both"/>
        <w:textAlignment w:val="auto"/>
        <w:rPr>
          <w:rFonts w:hint="eastAsia" w:ascii="楷体_GB2312" w:hAnsi="楷体_GB2312" w:eastAsia="楷体_GB2312" w:cs="楷体_GB2312"/>
          <w:b w:val="0"/>
          <w:bCs w:val="0"/>
          <w:w w:val="98"/>
          <w:sz w:val="32"/>
          <w:szCs w:val="32"/>
          <w:lang w:val="en-US" w:eastAsia="zh-CN"/>
        </w:rPr>
      </w:pPr>
      <w:r>
        <w:rPr>
          <w:rFonts w:hint="eastAsia" w:ascii="楷体_GB2312" w:hAnsi="楷体_GB2312" w:eastAsia="楷体_GB2312" w:cs="楷体_GB2312"/>
          <w:b w:val="0"/>
          <w:bCs w:val="0"/>
          <w:w w:val="98"/>
          <w:sz w:val="32"/>
          <w:szCs w:val="32"/>
          <w:lang w:val="en-US" w:eastAsia="zh-CN"/>
        </w:rPr>
        <w:t>（七）全力抓好干部队伍建设</w:t>
      </w:r>
    </w:p>
    <w:p>
      <w:pPr>
        <w:keepNext w:val="0"/>
        <w:keepLines w:val="0"/>
        <w:pageBreakBefore w:val="0"/>
        <w:widowControl w:val="0"/>
        <w:numPr>
          <w:ilvl w:val="0"/>
          <w:numId w:val="0"/>
        </w:numPr>
        <w:kinsoku/>
        <w:wordWrap/>
        <w:overflowPunct w:val="0"/>
        <w:topLinePunct w:val="0"/>
        <w:autoSpaceDE/>
        <w:autoSpaceDN/>
        <w:bidi w:val="0"/>
        <w:adjustRightInd/>
        <w:snapToGrid/>
        <w:spacing w:line="620" w:lineRule="exact"/>
        <w:ind w:firstLine="628"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w w:val="98"/>
          <w:sz w:val="32"/>
          <w:szCs w:val="32"/>
          <w:lang w:val="en-US" w:eastAsia="zh-CN"/>
        </w:rPr>
        <w:t>一是全力开展主题教育学习。</w:t>
      </w:r>
      <w:r>
        <w:rPr>
          <w:rFonts w:hint="eastAsia" w:ascii="仿宋_GB2312" w:eastAsia="仿宋_GB2312"/>
          <w:snapToGrid w:val="0"/>
          <w:color w:val="000000"/>
          <w:sz w:val="32"/>
          <w:lang w:val="en-US" w:eastAsia="zh-CN"/>
        </w:rPr>
        <w:t>全县</w:t>
      </w:r>
      <w:r>
        <w:rPr>
          <w:rFonts w:hint="eastAsia" w:ascii="仿宋_GB2312" w:eastAsia="仿宋_GB2312"/>
          <w:snapToGrid w:val="0"/>
          <w:color w:val="000000"/>
          <w:sz w:val="32"/>
        </w:rPr>
        <w:t>主题教育开展以来，</w:t>
      </w:r>
      <w:r>
        <w:rPr>
          <w:rFonts w:hint="eastAsia" w:ascii="仿宋_GB2312" w:eastAsia="仿宋_GB2312"/>
          <w:snapToGrid w:val="0"/>
          <w:color w:val="000000"/>
          <w:sz w:val="32"/>
          <w:lang w:val="en-US" w:eastAsia="zh-CN"/>
        </w:rPr>
        <w:t>我</w:t>
      </w:r>
      <w:r>
        <w:rPr>
          <w:rFonts w:hint="eastAsia" w:ascii="仿宋_GB2312" w:eastAsia="仿宋_GB2312"/>
          <w:snapToGrid w:val="0"/>
          <w:color w:val="000000"/>
          <w:sz w:val="32"/>
        </w:rPr>
        <w:t>局领导高度重视</w:t>
      </w:r>
      <w:r>
        <w:rPr>
          <w:rFonts w:hint="eastAsia" w:ascii="仿宋_GB2312" w:eastAsia="仿宋_GB2312"/>
          <w:snapToGrid w:val="0"/>
          <w:color w:val="000000"/>
          <w:sz w:val="32"/>
          <w:lang w:eastAsia="zh-CN"/>
        </w:rPr>
        <w:t>，</w:t>
      </w:r>
      <w:r>
        <w:rPr>
          <w:rFonts w:hint="eastAsia" w:ascii="仿宋_GB2312" w:eastAsia="仿宋_GB2312"/>
          <w:snapToGrid w:val="0"/>
          <w:color w:val="000000"/>
          <w:sz w:val="32"/>
        </w:rPr>
        <w:t>精心</w:t>
      </w:r>
      <w:r>
        <w:rPr>
          <w:rFonts w:hint="eastAsia" w:ascii="仿宋_GB2312" w:eastAsia="仿宋_GB2312"/>
          <w:snapToGrid w:val="0"/>
          <w:color w:val="000000"/>
          <w:sz w:val="32"/>
          <w:lang w:val="en-US" w:eastAsia="zh-CN"/>
        </w:rPr>
        <w:t>组织</w:t>
      </w:r>
      <w:r>
        <w:rPr>
          <w:rFonts w:hint="eastAsia" w:ascii="仿宋_GB2312" w:eastAsia="仿宋_GB2312"/>
          <w:snapToGrid w:val="0"/>
          <w:color w:val="000000"/>
          <w:sz w:val="32"/>
        </w:rPr>
        <w:t>部署，牢牢把握“学思想、强</w:t>
      </w:r>
      <w:r>
        <w:rPr>
          <w:rFonts w:hint="eastAsia" w:ascii="仿宋_GB2312" w:eastAsia="仿宋_GB2312"/>
          <w:snapToGrid w:val="0"/>
          <w:color w:val="000000"/>
          <w:sz w:val="32"/>
          <w:lang w:eastAsia="zh-CN"/>
        </w:rPr>
        <w:t>党</w:t>
      </w:r>
      <w:r>
        <w:rPr>
          <w:rFonts w:hint="eastAsia" w:ascii="仿宋_GB2312" w:eastAsia="仿宋_GB2312"/>
          <w:snapToGrid w:val="0"/>
          <w:color w:val="000000"/>
          <w:sz w:val="32"/>
        </w:rPr>
        <w:t>性、重实践、建新功”总要求，</w:t>
      </w:r>
      <w:r>
        <w:rPr>
          <w:rFonts w:hint="eastAsia" w:ascii="仿宋_GB2312" w:hAnsi="宋体" w:eastAsia="仿宋_GB2312" w:cs="仿宋_GB2312"/>
          <w:color w:val="050505"/>
          <w:sz w:val="31"/>
          <w:szCs w:val="31"/>
        </w:rPr>
        <w:t>立足住建实际，扎实开展各项活动。成立了主题教育工作领导小组，研究制定了实施方案，制定学习计划，购买学习书籍，采取集中学习和个人自学</w:t>
      </w:r>
      <w:r>
        <w:rPr>
          <w:rFonts w:hint="eastAsia" w:ascii="仿宋_GB2312" w:hAnsi="宋体" w:eastAsia="仿宋_GB2312" w:cs="仿宋_GB2312"/>
          <w:color w:val="050505"/>
          <w:sz w:val="31"/>
          <w:szCs w:val="31"/>
          <w:lang w:val="en-US" w:eastAsia="zh-CN"/>
        </w:rPr>
        <w:t>相结合的</w:t>
      </w:r>
      <w:r>
        <w:rPr>
          <w:rFonts w:hint="eastAsia" w:ascii="仿宋_GB2312" w:hAnsi="宋体" w:eastAsia="仿宋_GB2312" w:cs="仿宋_GB2312"/>
          <w:color w:val="050505"/>
          <w:sz w:val="31"/>
          <w:szCs w:val="31"/>
        </w:rPr>
        <w:t>方式，依托党组理论学习中心组学习会、党支部三会一课、主题党日，注重运用</w:t>
      </w:r>
      <w:r>
        <w:rPr>
          <w:rFonts w:hint="eastAsia" w:ascii="仿宋_GB2312" w:hAnsi="宋体" w:eastAsia="仿宋_GB2312" w:cs="仿宋_GB2312"/>
          <w:color w:val="050505"/>
          <w:sz w:val="31"/>
          <w:szCs w:val="31"/>
          <w:lang w:val="en-US" w:eastAsia="zh-CN"/>
        </w:rPr>
        <w:t>互联网媒体平台</w:t>
      </w:r>
      <w:r>
        <w:rPr>
          <w:rFonts w:hint="eastAsia" w:ascii="仿宋_GB2312" w:hAnsi="宋体" w:eastAsia="仿宋_GB2312" w:cs="仿宋_GB2312"/>
          <w:color w:val="050505"/>
          <w:sz w:val="31"/>
          <w:szCs w:val="31"/>
        </w:rPr>
        <w:t>组织党员开展学习，</w:t>
      </w:r>
      <w:r>
        <w:rPr>
          <w:rFonts w:hint="eastAsia" w:ascii="仿宋_GB2312" w:hAnsi="宋体" w:eastAsia="仿宋_GB2312" w:cs="仿宋_GB2312"/>
          <w:color w:val="050505"/>
          <w:sz w:val="31"/>
          <w:szCs w:val="31"/>
          <w:lang w:val="en-US" w:eastAsia="zh-CN"/>
        </w:rPr>
        <w:t>截至</w:t>
      </w:r>
      <w:bookmarkStart w:id="0" w:name="_GoBack"/>
      <w:bookmarkEnd w:id="0"/>
      <w:r>
        <w:rPr>
          <w:rFonts w:hint="eastAsia" w:ascii="仿宋_GB2312" w:hAnsi="宋体" w:eastAsia="仿宋_GB2312" w:cs="仿宋_GB2312"/>
          <w:color w:val="050505"/>
          <w:sz w:val="31"/>
          <w:szCs w:val="31"/>
          <w:lang w:val="en-US" w:eastAsia="zh-CN"/>
        </w:rPr>
        <w:t>目前</w:t>
      </w:r>
      <w:r>
        <w:rPr>
          <w:rFonts w:hint="eastAsia" w:ascii="仿宋_GB2312" w:hAnsi="宋体" w:eastAsia="仿宋_GB2312" w:cs="仿宋_GB2312"/>
          <w:color w:val="050505"/>
          <w:sz w:val="31"/>
          <w:szCs w:val="31"/>
          <w:lang w:eastAsia="zh-CN"/>
        </w:rPr>
        <w:t>集中学习研讨</w:t>
      </w:r>
      <w:r>
        <w:rPr>
          <w:rFonts w:hint="eastAsia" w:ascii="仿宋_GB2312" w:hAnsi="宋体" w:eastAsia="仿宋_GB2312" w:cs="仿宋_GB2312"/>
          <w:color w:val="050505"/>
          <w:sz w:val="31"/>
          <w:szCs w:val="31"/>
          <w:lang w:val="en-US" w:eastAsia="zh-CN"/>
        </w:rPr>
        <w:t>3次，</w:t>
      </w:r>
      <w:r>
        <w:rPr>
          <w:rFonts w:hint="eastAsia" w:ascii="仿宋" w:hAnsi="仿宋" w:eastAsia="仿宋" w:cs="仿宋"/>
          <w:color w:val="auto"/>
          <w:sz w:val="32"/>
          <w:szCs w:val="32"/>
          <w:lang w:eastAsia="zh-CN"/>
        </w:rPr>
        <w:t>设立党员责任区</w:t>
      </w:r>
      <w:r>
        <w:rPr>
          <w:rFonts w:hint="eastAsia" w:ascii="仿宋" w:hAnsi="仿宋" w:eastAsia="仿宋" w:cs="仿宋"/>
          <w:color w:val="auto"/>
          <w:sz w:val="32"/>
          <w:szCs w:val="32"/>
          <w:lang w:val="en-US" w:eastAsia="zh-CN"/>
        </w:rPr>
        <w:t>10个</w:t>
      </w:r>
      <w:r>
        <w:rPr>
          <w:rFonts w:hint="eastAsia" w:ascii="仿宋" w:hAnsi="仿宋" w:eastAsia="仿宋" w:cs="仿宋"/>
          <w:color w:val="auto"/>
          <w:sz w:val="32"/>
          <w:szCs w:val="32"/>
          <w:lang w:eastAsia="zh-CN"/>
        </w:rPr>
        <w:t>，党员承诺践诺</w:t>
      </w:r>
      <w:r>
        <w:rPr>
          <w:rFonts w:hint="eastAsia" w:ascii="仿宋" w:hAnsi="仿宋" w:eastAsia="仿宋" w:cs="仿宋"/>
          <w:color w:val="auto"/>
          <w:sz w:val="32"/>
          <w:szCs w:val="32"/>
          <w:lang w:val="en-US" w:eastAsia="zh-CN"/>
        </w:rPr>
        <w:t>20人，设立党员示范岗18个，组建党员突击队1个，党员认领“微心愿”13个，我为群众办实事8件，引导机关全体工作人员进行扶贫消费17000余元，组织重阳节慰问关爱休干支部党员。</w:t>
      </w:r>
      <w:r>
        <w:rPr>
          <w:rFonts w:hint="eastAsia" w:ascii="仿宋" w:hAnsi="仿宋" w:eastAsia="仿宋" w:cs="仿宋"/>
          <w:b/>
          <w:bCs/>
          <w:color w:val="auto"/>
          <w:sz w:val="32"/>
          <w:szCs w:val="32"/>
          <w:lang w:val="en-US" w:eastAsia="zh-CN"/>
        </w:rPr>
        <w:t>二是加强理论学习。</w:t>
      </w:r>
      <w:r>
        <w:rPr>
          <w:rFonts w:hint="eastAsia" w:ascii="仿宋_GB2312" w:hAnsi="宋体" w:eastAsia="仿宋_GB2312" w:cs="仿宋_GB2312"/>
          <w:color w:val="050505"/>
          <w:sz w:val="31"/>
          <w:szCs w:val="31"/>
        </w:rPr>
        <w:t>坚持把学习贯彻</w:t>
      </w:r>
      <w:r>
        <w:rPr>
          <w:rFonts w:hint="eastAsia" w:ascii="仿宋_GB2312" w:hAnsi="宋体" w:eastAsia="仿宋_GB2312" w:cs="仿宋_GB2312"/>
          <w:color w:val="050505"/>
          <w:sz w:val="31"/>
          <w:szCs w:val="31"/>
          <w:lang w:eastAsia="zh-CN"/>
        </w:rPr>
        <w:t>习近平新时代中国特色社会主义</w:t>
      </w:r>
      <w:r>
        <w:rPr>
          <w:rFonts w:hint="eastAsia" w:ascii="仿宋_GB2312" w:hAnsi="宋体" w:eastAsia="仿宋_GB2312" w:cs="仿宋_GB2312"/>
          <w:color w:val="050505"/>
          <w:sz w:val="31"/>
          <w:szCs w:val="31"/>
        </w:rPr>
        <w:t>思想作为首要</w:t>
      </w:r>
      <w:r>
        <w:rPr>
          <w:rFonts w:hint="eastAsia" w:ascii="仿宋_GB2312" w:hAnsi="宋体" w:eastAsia="仿宋_GB2312" w:cs="仿宋_GB2312"/>
          <w:color w:val="050505"/>
          <w:sz w:val="31"/>
          <w:szCs w:val="31"/>
          <w:lang w:eastAsia="zh-CN"/>
        </w:rPr>
        <w:t>政治</w:t>
      </w:r>
      <w:r>
        <w:rPr>
          <w:rFonts w:hint="eastAsia" w:ascii="仿宋_GB2312" w:hAnsi="宋体" w:eastAsia="仿宋_GB2312" w:cs="仿宋_GB2312"/>
          <w:color w:val="050505"/>
          <w:sz w:val="31"/>
          <w:szCs w:val="31"/>
        </w:rPr>
        <w:t>任务，持续抓好</w:t>
      </w:r>
      <w:r>
        <w:rPr>
          <w:rFonts w:hint="eastAsia" w:ascii="仿宋_GB2312" w:hAnsi="宋体" w:eastAsia="仿宋_GB2312" w:cs="仿宋_GB2312"/>
          <w:color w:val="050505"/>
          <w:sz w:val="31"/>
          <w:szCs w:val="31"/>
          <w:lang w:eastAsia="zh-CN"/>
        </w:rPr>
        <w:t>党</w:t>
      </w:r>
      <w:r>
        <w:rPr>
          <w:rFonts w:hint="eastAsia" w:ascii="仿宋_GB2312" w:hAnsi="宋体" w:eastAsia="仿宋_GB2312" w:cs="仿宋_GB2312"/>
          <w:color w:val="050505"/>
          <w:sz w:val="31"/>
          <w:szCs w:val="31"/>
        </w:rPr>
        <w:t>的二十大精神学习宣传贯彻，及时跟进学习最新重要讲话精神。2023年以来开展</w:t>
      </w:r>
      <w:r>
        <w:rPr>
          <w:rFonts w:hint="eastAsia" w:ascii="仿宋_GB2312" w:hAnsi="宋体" w:eastAsia="仿宋_GB2312" w:cs="仿宋_GB2312"/>
          <w:color w:val="050505"/>
          <w:sz w:val="31"/>
          <w:szCs w:val="31"/>
          <w:lang w:eastAsia="zh-CN"/>
        </w:rPr>
        <w:t>中心组</w:t>
      </w:r>
      <w:r>
        <w:rPr>
          <w:rFonts w:hint="eastAsia" w:ascii="仿宋_GB2312" w:hAnsi="宋体" w:eastAsia="仿宋_GB2312" w:cs="仿宋_GB2312"/>
          <w:color w:val="050505"/>
          <w:sz w:val="31"/>
          <w:szCs w:val="31"/>
        </w:rPr>
        <w:t>学习</w:t>
      </w:r>
      <w:r>
        <w:rPr>
          <w:rFonts w:hint="eastAsia" w:ascii="仿宋_GB2312" w:hAnsi="宋体" w:eastAsia="仿宋_GB2312" w:cs="仿宋_GB2312"/>
          <w:color w:val="050505"/>
          <w:sz w:val="31"/>
          <w:szCs w:val="31"/>
          <w:lang w:val="en-US" w:eastAsia="zh-CN"/>
        </w:rPr>
        <w:t>15</w:t>
      </w:r>
      <w:r>
        <w:rPr>
          <w:rFonts w:hint="eastAsia" w:ascii="仿宋_GB2312" w:hAnsi="宋体" w:eastAsia="仿宋_GB2312" w:cs="仿宋_GB2312"/>
          <w:color w:val="050505"/>
          <w:sz w:val="31"/>
          <w:szCs w:val="31"/>
        </w:rPr>
        <w:t>次。</w:t>
      </w:r>
      <w:r>
        <w:rPr>
          <w:rFonts w:hint="eastAsia" w:ascii="仿宋_GB2312" w:hAnsi="宋体" w:eastAsia="仿宋_GB2312" w:cs="仿宋_GB2312"/>
          <w:b/>
          <w:bCs/>
          <w:color w:val="050505"/>
          <w:sz w:val="31"/>
          <w:szCs w:val="31"/>
          <w:lang w:val="en-US" w:eastAsia="zh-CN"/>
        </w:rPr>
        <w:t>三是</w:t>
      </w:r>
      <w:r>
        <w:rPr>
          <w:rFonts w:hint="eastAsia" w:ascii="仿宋_GB2312" w:hAnsi="仿宋_GB2312" w:eastAsia="仿宋_GB2312" w:cs="仿宋_GB2312"/>
          <w:b/>
          <w:bCs/>
          <w:sz w:val="32"/>
          <w:szCs w:val="32"/>
        </w:rPr>
        <w:t>严格党内组织生活</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严格落</w:t>
      </w:r>
      <w:r>
        <w:rPr>
          <w:rFonts w:hint="eastAsia" w:ascii="仿宋_GB2312" w:eastAsia="仿宋_GB2312" w:cs="仿宋_GB2312"/>
          <w:color w:val="050505"/>
          <w:sz w:val="31"/>
          <w:szCs w:val="31"/>
        </w:rPr>
        <w:t>实三会一课</w:t>
      </w:r>
      <w:r>
        <w:rPr>
          <w:rFonts w:hint="eastAsia" w:ascii="仿宋_GB2312" w:eastAsia="仿宋_GB2312" w:cs="仿宋_GB2312"/>
          <w:color w:val="050505"/>
          <w:sz w:val="31"/>
          <w:szCs w:val="31"/>
          <w:lang w:eastAsia="zh-CN"/>
        </w:rPr>
        <w:t>、</w:t>
      </w:r>
      <w:r>
        <w:rPr>
          <w:rFonts w:hint="eastAsia" w:ascii="仿宋_GB2312" w:eastAsia="仿宋_GB2312" w:cs="仿宋_GB2312"/>
          <w:color w:val="050505"/>
          <w:sz w:val="31"/>
          <w:szCs w:val="31"/>
        </w:rPr>
        <w:t>谈心谈话、民主评议</w:t>
      </w:r>
      <w:r>
        <w:rPr>
          <w:rFonts w:hint="eastAsia" w:ascii="仿宋_GB2312" w:eastAsia="仿宋_GB2312" w:cs="仿宋_GB2312"/>
          <w:color w:val="050505"/>
          <w:sz w:val="31"/>
          <w:szCs w:val="31"/>
          <w:lang w:eastAsia="zh-CN"/>
        </w:rPr>
        <w:t>党</w:t>
      </w:r>
      <w:r>
        <w:rPr>
          <w:rFonts w:hint="eastAsia" w:ascii="仿宋_GB2312" w:eastAsia="仿宋_GB2312" w:cs="仿宋_GB2312"/>
          <w:color w:val="050505"/>
          <w:sz w:val="31"/>
          <w:szCs w:val="31"/>
        </w:rPr>
        <w:t>员、</w:t>
      </w:r>
      <w:r>
        <w:rPr>
          <w:rFonts w:hint="eastAsia" w:ascii="仿宋_GB2312" w:eastAsia="仿宋_GB2312" w:cs="仿宋_GB2312"/>
          <w:color w:val="050505"/>
          <w:sz w:val="31"/>
          <w:szCs w:val="31"/>
          <w:lang w:val="en-US" w:eastAsia="zh-CN"/>
        </w:rPr>
        <w:t>“</w:t>
      </w:r>
      <w:r>
        <w:rPr>
          <w:rFonts w:hint="eastAsia" w:ascii="仿宋_GB2312" w:eastAsia="仿宋_GB2312" w:cs="仿宋_GB2312"/>
          <w:color w:val="050505"/>
          <w:sz w:val="31"/>
          <w:szCs w:val="31"/>
        </w:rPr>
        <w:t>主题</w:t>
      </w:r>
      <w:r>
        <w:rPr>
          <w:rFonts w:hint="eastAsia" w:ascii="仿宋_GB2312" w:eastAsia="仿宋_GB2312" w:cs="仿宋_GB2312"/>
          <w:color w:val="050505"/>
          <w:sz w:val="31"/>
          <w:szCs w:val="31"/>
          <w:lang w:eastAsia="zh-CN"/>
        </w:rPr>
        <w:t>党日</w:t>
      </w:r>
      <w:r>
        <w:rPr>
          <w:rFonts w:hint="eastAsia" w:ascii="仿宋_GB2312" w:eastAsia="仿宋_GB2312" w:cs="仿宋_GB2312"/>
          <w:color w:val="050505"/>
          <w:sz w:val="31"/>
          <w:szCs w:val="31"/>
          <w:lang w:val="en-US" w:eastAsia="zh-CN"/>
        </w:rPr>
        <w:t>+”</w:t>
      </w:r>
      <w:r>
        <w:rPr>
          <w:rFonts w:hint="eastAsia" w:ascii="仿宋_GB2312" w:eastAsia="仿宋_GB2312" w:cs="仿宋_GB2312"/>
          <w:color w:val="050505"/>
          <w:sz w:val="31"/>
          <w:szCs w:val="31"/>
        </w:rPr>
        <w:t>等制度，</w:t>
      </w:r>
      <w:r>
        <w:rPr>
          <w:rFonts w:hint="eastAsia" w:ascii="仿宋_GB2312" w:hAnsi="仿宋_GB2312" w:eastAsia="仿宋_GB2312" w:cs="仿宋_GB2312"/>
          <w:sz w:val="32"/>
          <w:szCs w:val="32"/>
        </w:rPr>
        <w:t>依托每月主题党日活动，组织集中学习</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次，撰写心得体会</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篇，</w:t>
      </w:r>
      <w:r>
        <w:rPr>
          <w:rFonts w:hint="eastAsia" w:ascii="仿宋_GB2312" w:hAnsi="仿宋_GB2312" w:eastAsia="仿宋_GB2312" w:cs="仿宋_GB2312"/>
          <w:sz w:val="32"/>
          <w:szCs w:val="32"/>
          <w:lang w:eastAsia="zh-CN"/>
        </w:rPr>
        <w:t>讲专题党课</w:t>
      </w:r>
      <w:r>
        <w:rPr>
          <w:rFonts w:hint="eastAsia" w:ascii="仿宋_GB2312" w:hAnsi="仿宋_GB2312" w:eastAsia="仿宋_GB2312" w:cs="仿宋_GB2312"/>
          <w:sz w:val="32"/>
          <w:szCs w:val="32"/>
          <w:lang w:val="en-US" w:eastAsia="zh-CN"/>
        </w:rPr>
        <w:t>2次，</w:t>
      </w:r>
      <w:r>
        <w:rPr>
          <w:rFonts w:hint="eastAsia" w:ascii="仿宋_GB2312" w:hAnsi="仿宋_GB2312" w:eastAsia="仿宋_GB2312" w:cs="仿宋_GB2312"/>
          <w:sz w:val="32"/>
          <w:szCs w:val="32"/>
        </w:rPr>
        <w:t>及时整理保存影像资料、会议记录、学习笔记、党课讲稿等资料，按时上报并及时上传至山西智慧党建平台。</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b/>
          <w:bCs/>
          <w:sz w:val="32"/>
          <w:szCs w:val="32"/>
        </w:rPr>
        <w:t>落实党风廉政建设责任。</w:t>
      </w:r>
      <w:r>
        <w:rPr>
          <w:rFonts w:hint="eastAsia" w:ascii="仿宋_GB2312" w:hAnsi="仿宋_GB2312" w:eastAsia="仿宋_GB2312" w:cs="仿宋_GB2312"/>
          <w:sz w:val="32"/>
          <w:szCs w:val="32"/>
        </w:rPr>
        <w:t>落实全面从严治党主体责任，严格落实“一岗双责”，高度重视</w:t>
      </w:r>
      <w:r>
        <w:rPr>
          <w:rFonts w:eastAsia="仿宋_GB2312"/>
          <w:sz w:val="32"/>
          <w:szCs w:val="32"/>
        </w:rPr>
        <w:t>意识形态工作</w:t>
      </w:r>
      <w:r>
        <w:rPr>
          <w:rFonts w:hint="eastAsia" w:eastAsia="仿宋_GB2312"/>
          <w:sz w:val="32"/>
          <w:szCs w:val="32"/>
        </w:rPr>
        <w:t>，</w:t>
      </w:r>
      <w:r>
        <w:rPr>
          <w:rFonts w:hint="eastAsia" w:eastAsia="仿宋_GB2312"/>
          <w:sz w:val="32"/>
          <w:szCs w:val="32"/>
          <w:lang w:eastAsia="zh-CN"/>
        </w:rPr>
        <w:t>坚持每</w:t>
      </w:r>
      <w:r>
        <w:rPr>
          <w:rFonts w:hint="eastAsia" w:ascii="仿宋_GB2312" w:hAnsi="仿宋_GB2312" w:eastAsia="仿宋_GB2312" w:cs="仿宋_GB2312"/>
          <w:sz w:val="32"/>
          <w:szCs w:val="32"/>
          <w:lang w:eastAsia="zh-CN"/>
        </w:rPr>
        <w:t>季度</w:t>
      </w:r>
      <w:r>
        <w:rPr>
          <w:rFonts w:hint="eastAsia" w:ascii="仿宋_GB2312" w:hAnsi="仿宋_GB2312" w:eastAsia="仿宋_GB2312" w:cs="仿宋_GB2312"/>
          <w:sz w:val="32"/>
          <w:szCs w:val="32"/>
        </w:rPr>
        <w:t>分析研判意识形态领域形势，全面落实意识形态工作责任制，把意识形态工作纳入</w:t>
      </w:r>
      <w:r>
        <w:rPr>
          <w:rFonts w:hint="eastAsia" w:ascii="仿宋_GB2312" w:hAnsi="仿宋_GB2312" w:eastAsia="仿宋_GB2312" w:cs="仿宋_GB2312"/>
          <w:sz w:val="32"/>
          <w:szCs w:val="32"/>
          <w:lang w:eastAsia="zh-CN"/>
        </w:rPr>
        <w:t>党</w:t>
      </w:r>
      <w:r>
        <w:rPr>
          <w:rFonts w:hint="eastAsia" w:ascii="仿宋_GB2312" w:hAnsi="仿宋_GB2312" w:eastAsia="仿宋_GB2312" w:cs="仿宋_GB2312"/>
          <w:sz w:val="32"/>
          <w:szCs w:val="32"/>
        </w:rPr>
        <w:t>建工作责任制、</w:t>
      </w:r>
      <w:r>
        <w:rPr>
          <w:rFonts w:hint="eastAsia" w:ascii="仿宋_GB2312" w:hAnsi="仿宋_GB2312" w:eastAsia="仿宋_GB2312" w:cs="仿宋_GB2312"/>
          <w:sz w:val="32"/>
          <w:szCs w:val="32"/>
          <w:lang w:eastAsia="zh-CN"/>
        </w:rPr>
        <w:t>党组</w:t>
      </w:r>
      <w:r>
        <w:rPr>
          <w:rFonts w:hint="eastAsia" w:ascii="仿宋_GB2312" w:hAnsi="仿宋_GB2312" w:eastAsia="仿宋_GB2312" w:cs="仿宋_GB2312"/>
          <w:sz w:val="32"/>
          <w:szCs w:val="32"/>
        </w:rPr>
        <w:t>中心组学习，2次专题研究意识形态工作，认真落实中央八项规定，不断加强纪律作风建设，重点节假日期间及时召开纪律作风提醒会议，提前警示提醒，做到</w:t>
      </w:r>
      <w:r>
        <w:rPr>
          <w:rFonts w:ascii="仿宋_GB2312" w:hAnsi="仿宋_GB2312" w:eastAsia="仿宋_GB2312" w:cs="仿宋_GB2312"/>
          <w:sz w:val="32"/>
          <w:szCs w:val="32"/>
        </w:rPr>
        <w:t>警钟长鸣</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二、2024年工作计划</w:t>
      </w:r>
    </w:p>
    <w:p>
      <w:pPr>
        <w:keepNext w:val="0"/>
        <w:keepLines w:val="0"/>
        <w:pageBreakBefore w:val="0"/>
        <w:widowControl w:val="0"/>
        <w:numPr>
          <w:ilvl w:val="0"/>
          <w:numId w:val="3"/>
        </w:numPr>
        <w:kinsoku/>
        <w:wordWrap/>
        <w:overflowPunct w:val="0"/>
        <w:topLinePunct w:val="0"/>
        <w:autoSpaceDE/>
        <w:autoSpaceDN/>
        <w:bidi w:val="0"/>
        <w:adjustRightInd/>
        <w:snapToGrid/>
        <w:spacing w:line="620" w:lineRule="exact"/>
        <w:ind w:firstLine="626" w:firstLineChars="200"/>
        <w:jc w:val="both"/>
        <w:textAlignment w:val="auto"/>
        <w:rPr>
          <w:rFonts w:hint="eastAsia" w:ascii="仿宋_GB2312" w:hAnsi="仿宋_GB2312" w:eastAsia="仿宋_GB2312" w:cs="仿宋_GB2312"/>
          <w:b w:val="0"/>
          <w:bCs w:val="0"/>
          <w:w w:val="98"/>
          <w:sz w:val="32"/>
          <w:szCs w:val="32"/>
          <w:lang w:val="en-US" w:eastAsia="zh-CN"/>
        </w:rPr>
      </w:pPr>
      <w:r>
        <w:rPr>
          <w:rFonts w:hint="eastAsia" w:ascii="楷体_GB2312" w:hAnsi="楷体_GB2312" w:eastAsia="楷体_GB2312" w:cs="楷体_GB2312"/>
          <w:b w:val="0"/>
          <w:bCs w:val="0"/>
          <w:w w:val="98"/>
          <w:sz w:val="32"/>
          <w:szCs w:val="32"/>
          <w:lang w:val="en-US" w:eastAsia="zh-CN"/>
        </w:rPr>
        <w:t>高水平推进房地产市场管理。</w:t>
      </w:r>
      <w:r>
        <w:rPr>
          <w:rFonts w:hint="eastAsia" w:ascii="仿宋_GB2312" w:hAnsi="仿宋_GB2312" w:eastAsia="仿宋_GB2312" w:cs="仿宋_GB2312"/>
          <w:b w:val="0"/>
          <w:bCs w:val="0"/>
          <w:w w:val="98"/>
          <w:sz w:val="32"/>
          <w:szCs w:val="32"/>
          <w:lang w:val="en-US" w:eastAsia="zh-CN"/>
        </w:rPr>
        <w:t>坚持房子是用来住的、不是用来炒的定位，大力支持刚性和改善型住房需求，结合我县房地产实际制定政策措施。推进保交楼保民生保稳定工作，探索房证同交服务模式，及时化解房地产领域风险，整治房地产市场秩序，规范销售行为，让人民群众放心购房。</w:t>
      </w:r>
    </w:p>
    <w:p>
      <w:pPr>
        <w:keepNext w:val="0"/>
        <w:keepLines w:val="0"/>
        <w:pageBreakBefore w:val="0"/>
        <w:widowControl w:val="0"/>
        <w:numPr>
          <w:ilvl w:val="0"/>
          <w:numId w:val="0"/>
        </w:numPr>
        <w:kinsoku/>
        <w:wordWrap/>
        <w:overflowPunct w:val="0"/>
        <w:topLinePunct w:val="0"/>
        <w:autoSpaceDE/>
        <w:autoSpaceDN/>
        <w:bidi w:val="0"/>
        <w:adjustRightInd/>
        <w:snapToGrid/>
        <w:spacing w:line="620" w:lineRule="exact"/>
        <w:ind w:firstLine="626" w:firstLineChars="200"/>
        <w:jc w:val="both"/>
        <w:textAlignment w:val="auto"/>
        <w:rPr>
          <w:rFonts w:hint="default" w:ascii="仿宋_GB2312" w:hAnsi="仿宋_GB2312" w:eastAsia="仿宋_GB2312" w:cs="仿宋_GB2312"/>
          <w:b w:val="0"/>
          <w:bCs w:val="0"/>
          <w:w w:val="98"/>
          <w:sz w:val="32"/>
          <w:szCs w:val="32"/>
          <w:lang w:val="en-US" w:eastAsia="zh-CN"/>
        </w:rPr>
      </w:pPr>
      <w:r>
        <w:rPr>
          <w:rFonts w:hint="eastAsia" w:ascii="楷体_GB2312" w:hAnsi="楷体_GB2312" w:eastAsia="楷体_GB2312" w:cs="楷体_GB2312"/>
          <w:b w:val="0"/>
          <w:bCs w:val="0"/>
          <w:w w:val="98"/>
          <w:sz w:val="32"/>
          <w:szCs w:val="32"/>
          <w:lang w:val="en-US" w:eastAsia="zh-CN"/>
        </w:rPr>
        <w:t>（二）高质量推动建筑市场发展。</w:t>
      </w:r>
      <w:r>
        <w:rPr>
          <w:rFonts w:hint="eastAsia" w:ascii="仿宋_GB2312" w:hAnsi="仿宋_GB2312" w:eastAsia="仿宋_GB2312" w:cs="仿宋_GB2312"/>
          <w:b w:val="0"/>
          <w:bCs w:val="0"/>
          <w:w w:val="98"/>
          <w:sz w:val="32"/>
          <w:szCs w:val="32"/>
          <w:lang w:val="en-US" w:eastAsia="zh-CN"/>
        </w:rPr>
        <w:t>进一步健全工程质量安全监督制度，全面落实工程质量各方主体安全责任，开展失信惩戒，持续规范建筑市场秩序。支持本地建筑企业“走出去”，培育一批具有独立承包能力、综合实力强的企业，确保建筑业产值稳步增长。进一步规范招投标行为，完善招投标制度体系，加大招投标活动信息公开力度，强化事中事后监管，依法严肃查处违法违规行为，保证市场环境竞争有序。</w:t>
      </w:r>
    </w:p>
    <w:p>
      <w:pPr>
        <w:keepNext w:val="0"/>
        <w:keepLines w:val="0"/>
        <w:pageBreakBefore w:val="0"/>
        <w:widowControl w:val="0"/>
        <w:numPr>
          <w:ilvl w:val="0"/>
          <w:numId w:val="0"/>
        </w:numPr>
        <w:kinsoku/>
        <w:wordWrap/>
        <w:overflowPunct w:val="0"/>
        <w:topLinePunct w:val="0"/>
        <w:autoSpaceDE/>
        <w:autoSpaceDN/>
        <w:bidi w:val="0"/>
        <w:adjustRightInd/>
        <w:snapToGrid/>
        <w:spacing w:line="620" w:lineRule="exact"/>
        <w:ind w:firstLine="626" w:firstLineChars="200"/>
        <w:jc w:val="both"/>
        <w:textAlignment w:val="auto"/>
        <w:rPr>
          <w:rFonts w:hint="eastAsia" w:ascii="仿宋_GB2312" w:hAnsi="仿宋_GB2312" w:eastAsia="仿宋_GB2312" w:cs="仿宋_GB2312"/>
          <w:b w:val="0"/>
          <w:bCs w:val="0"/>
          <w:w w:val="98"/>
          <w:sz w:val="32"/>
          <w:szCs w:val="32"/>
          <w:highlight w:val="blue"/>
          <w:lang w:val="en-US" w:eastAsia="zh-CN"/>
        </w:rPr>
      </w:pPr>
      <w:r>
        <w:rPr>
          <w:rFonts w:hint="eastAsia" w:ascii="楷体_GB2312" w:hAnsi="楷体_GB2312" w:eastAsia="楷体_GB2312" w:cs="楷体_GB2312"/>
          <w:b w:val="0"/>
          <w:bCs w:val="0"/>
          <w:w w:val="98"/>
          <w:sz w:val="32"/>
          <w:szCs w:val="32"/>
          <w:lang w:val="en-US" w:eastAsia="zh-CN"/>
        </w:rPr>
        <w:t>（三）持续推进老旧小区改造。</w:t>
      </w:r>
      <w:r>
        <w:rPr>
          <w:rFonts w:hint="eastAsia" w:ascii="仿宋_GB2312" w:hAnsi="仿宋_GB2312" w:eastAsia="仿宋_GB2312" w:cs="仿宋_GB2312"/>
          <w:b w:val="0"/>
          <w:bCs w:val="0"/>
          <w:w w:val="98"/>
          <w:sz w:val="32"/>
          <w:szCs w:val="32"/>
          <w:lang w:val="en-US" w:eastAsia="zh-CN"/>
        </w:rPr>
        <w:t>2024年我局将继续以不断提升群众的幸福感、获得感为导向，加快推进老旧小区改造，按照计划将实施3个</w:t>
      </w:r>
      <w:r>
        <w:rPr>
          <w:rFonts w:hint="eastAsia" w:ascii="仿宋_GB2312" w:hAnsi="仿宋_GB2312" w:eastAsia="仿宋_GB2312" w:cs="仿宋_GB2312"/>
          <w:b w:val="0"/>
          <w:bCs w:val="0"/>
          <w:w w:val="98"/>
          <w:sz w:val="32"/>
          <w:szCs w:val="32"/>
          <w:highlight w:val="none"/>
          <w:lang w:val="en-US" w:eastAsia="zh-CN"/>
        </w:rPr>
        <w:t>老旧小区的改造。</w:t>
      </w:r>
    </w:p>
    <w:p>
      <w:pPr>
        <w:keepNext w:val="0"/>
        <w:keepLines w:val="0"/>
        <w:pageBreakBefore w:val="0"/>
        <w:widowControl w:val="0"/>
        <w:numPr>
          <w:ilvl w:val="0"/>
          <w:numId w:val="0"/>
        </w:numPr>
        <w:kinsoku/>
        <w:wordWrap/>
        <w:overflowPunct w:val="0"/>
        <w:topLinePunct w:val="0"/>
        <w:autoSpaceDE/>
        <w:autoSpaceDN/>
        <w:bidi w:val="0"/>
        <w:adjustRightInd/>
        <w:snapToGrid/>
        <w:spacing w:line="620" w:lineRule="exact"/>
        <w:ind w:firstLine="626" w:firstLineChars="200"/>
        <w:jc w:val="both"/>
        <w:textAlignment w:val="auto"/>
        <w:rPr>
          <w:rFonts w:hint="eastAsia" w:ascii="仿宋_GB2312" w:hAnsi="仿宋_GB2312" w:eastAsia="仿宋_GB2312" w:cs="仿宋_GB2312"/>
          <w:b w:val="0"/>
          <w:bCs w:val="0"/>
          <w:w w:val="98"/>
          <w:sz w:val="32"/>
          <w:szCs w:val="32"/>
          <w:lang w:val="en-US" w:eastAsia="zh-CN"/>
        </w:rPr>
      </w:pPr>
      <w:r>
        <w:rPr>
          <w:rFonts w:hint="eastAsia" w:ascii="楷体_GB2312" w:hAnsi="楷体_GB2312" w:eastAsia="楷体_GB2312" w:cs="楷体_GB2312"/>
          <w:b w:val="0"/>
          <w:bCs w:val="0"/>
          <w:w w:val="98"/>
          <w:sz w:val="32"/>
          <w:szCs w:val="32"/>
          <w:lang w:val="en-US" w:eastAsia="zh-CN"/>
        </w:rPr>
        <w:t>（四）坚持农村危房动态监测。</w:t>
      </w:r>
      <w:r>
        <w:rPr>
          <w:rFonts w:hint="eastAsia" w:ascii="仿宋_GB2312" w:hAnsi="仿宋_GB2312" w:eastAsia="仿宋_GB2312" w:cs="仿宋_GB2312"/>
          <w:b w:val="0"/>
          <w:bCs w:val="0"/>
          <w:w w:val="98"/>
          <w:sz w:val="32"/>
          <w:szCs w:val="32"/>
          <w:lang w:val="en-US" w:eastAsia="zh-CN"/>
        </w:rPr>
        <w:t>继续开展农村危房动态监测，确保农村房屋安全隐患全部整治，提升农房质量安全，提升农村居民生活条件，建设宜居宜业的美丽村镇。</w:t>
      </w:r>
    </w:p>
    <w:p>
      <w:pPr>
        <w:keepNext w:val="0"/>
        <w:keepLines w:val="0"/>
        <w:pageBreakBefore w:val="0"/>
        <w:widowControl w:val="0"/>
        <w:numPr>
          <w:ilvl w:val="0"/>
          <w:numId w:val="0"/>
        </w:numPr>
        <w:kinsoku/>
        <w:wordWrap/>
        <w:overflowPunct w:val="0"/>
        <w:topLinePunct w:val="0"/>
        <w:autoSpaceDE/>
        <w:autoSpaceDN/>
        <w:bidi w:val="0"/>
        <w:adjustRightInd/>
        <w:snapToGrid/>
        <w:spacing w:line="620" w:lineRule="exact"/>
        <w:ind w:firstLine="626" w:firstLineChars="200"/>
        <w:jc w:val="both"/>
        <w:textAlignment w:val="auto"/>
        <w:rPr>
          <w:rFonts w:hint="eastAsia" w:ascii="仿宋_GB2312" w:hAnsi="仿宋_GB2312" w:eastAsia="仿宋_GB2312" w:cs="仿宋_GB2312"/>
          <w:b w:val="0"/>
          <w:bCs w:val="0"/>
          <w:w w:val="98"/>
          <w:sz w:val="32"/>
          <w:szCs w:val="32"/>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620" w:lineRule="exact"/>
        <w:ind w:firstLine="626" w:firstLineChars="200"/>
        <w:jc w:val="both"/>
        <w:textAlignment w:val="auto"/>
        <w:rPr>
          <w:rFonts w:hint="eastAsia" w:ascii="仿宋_GB2312" w:hAnsi="仿宋_GB2312" w:eastAsia="仿宋_GB2312" w:cs="仿宋_GB2312"/>
          <w:b w:val="0"/>
          <w:bCs w:val="0"/>
          <w:w w:val="98"/>
          <w:sz w:val="32"/>
          <w:szCs w:val="32"/>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620" w:lineRule="exact"/>
        <w:ind w:firstLine="626" w:firstLineChars="200"/>
        <w:jc w:val="both"/>
        <w:textAlignment w:val="auto"/>
        <w:rPr>
          <w:rFonts w:hint="eastAsia" w:ascii="仿宋_GB2312" w:hAnsi="仿宋_GB2312" w:eastAsia="仿宋_GB2312" w:cs="仿宋_GB2312"/>
          <w:b w:val="0"/>
          <w:bCs w:val="0"/>
          <w:w w:val="98"/>
          <w:sz w:val="32"/>
          <w:szCs w:val="32"/>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620" w:lineRule="exact"/>
        <w:ind w:firstLine="626" w:firstLineChars="200"/>
        <w:jc w:val="both"/>
        <w:textAlignment w:val="auto"/>
        <w:rPr>
          <w:rFonts w:hint="eastAsia" w:ascii="仿宋_GB2312" w:hAnsi="仿宋_GB2312" w:eastAsia="仿宋_GB2312" w:cs="仿宋_GB2312"/>
          <w:b w:val="0"/>
          <w:bCs w:val="0"/>
          <w:w w:val="98"/>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center"/>
        <w:textAlignment w:val="auto"/>
        <w:rPr>
          <w:rFonts w:hint="default" w:ascii="仿宋" w:hAnsi="仿宋" w:eastAsia="仿宋" w:cs="仿宋"/>
          <w:sz w:val="32"/>
          <w:szCs w:val="32"/>
          <w:shd w:val="clear" w:color="auto" w:fill="FFFFFF"/>
          <w:lang w:val="en-US" w:eastAsia="zh-CN"/>
        </w:rPr>
      </w:pPr>
      <w:r>
        <w:rPr>
          <w:rFonts w:hint="eastAsia" w:ascii="仿宋" w:hAnsi="仿宋" w:eastAsia="仿宋" w:cs="仿宋"/>
          <w:sz w:val="32"/>
          <w:szCs w:val="32"/>
          <w:shd w:val="clear" w:color="auto" w:fill="FFFFFF"/>
          <w:lang w:val="en-US" w:eastAsia="zh-CN"/>
        </w:rPr>
        <w:t xml:space="preserve">                襄垣县住房和城乡建设管理局</w:t>
      </w:r>
    </w:p>
    <w:p>
      <w:pPr>
        <w:pStyle w:val="16"/>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 w:hAnsi="仿宋" w:eastAsia="仿宋" w:cs="仿宋"/>
          <w:sz w:val="32"/>
          <w:szCs w:val="32"/>
          <w:shd w:val="clear" w:color="auto" w:fill="FFFFFF"/>
          <w:lang w:val="en-US" w:eastAsia="zh-CN"/>
        </w:rPr>
      </w:pPr>
      <w:r>
        <w:rPr>
          <w:rFonts w:hint="eastAsia" w:ascii="仿宋" w:hAnsi="仿宋" w:eastAsia="仿宋" w:cs="仿宋"/>
          <w:sz w:val="32"/>
          <w:szCs w:val="32"/>
          <w:shd w:val="clear" w:color="auto" w:fill="FFFFFF"/>
          <w:lang w:val="en-US" w:eastAsia="zh-CN"/>
        </w:rPr>
        <w:t xml:space="preserve">                    2023年12月7日</w:t>
      </w:r>
    </w:p>
    <w:p>
      <w:pPr>
        <w:keepNext w:val="0"/>
        <w:keepLines w:val="0"/>
        <w:pageBreakBefore w:val="0"/>
        <w:widowControl w:val="0"/>
        <w:kinsoku/>
        <w:wordWrap/>
        <w:topLinePunct w:val="0"/>
        <w:autoSpaceDE/>
        <w:autoSpaceDN/>
        <w:bidi w:val="0"/>
        <w:adjustRightInd/>
        <w:snapToGrid/>
        <w:spacing w:line="620" w:lineRule="exact"/>
        <w:textAlignment w:val="auto"/>
        <w:rPr>
          <w:rFonts w:hint="eastAsia" w:ascii="仿宋" w:hAnsi="仿宋" w:eastAsia="仿宋" w:cs="仿宋"/>
          <w:sz w:val="32"/>
          <w:szCs w:val="32"/>
          <w:shd w:val="clear" w:color="auto" w:fill="FFFFFF"/>
          <w:lang w:val="en-US" w:eastAsia="zh-CN"/>
        </w:rPr>
      </w:pPr>
    </w:p>
    <w:p>
      <w:pPr>
        <w:pStyle w:val="12"/>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leftChars="0" w:firstLine="0" w:firstLineChars="0"/>
        <w:jc w:val="left"/>
        <w:textAlignment w:val="auto"/>
        <w:rPr>
          <w:rFonts w:hint="eastAsia" w:ascii="仿宋" w:hAnsi="仿宋" w:eastAsia="仿宋" w:cs="仿宋"/>
          <w:sz w:val="32"/>
          <w:szCs w:val="32"/>
          <w:lang w:val="en-US" w:eastAsia="zh-CN"/>
        </w:rPr>
      </w:pPr>
      <w:r>
        <w:rPr>
          <w:rFonts w:hint="eastAsia" w:ascii="仿宋_GB2312" w:hAnsi="仿宋_GB2312" w:eastAsia="仿宋_GB2312" w:cs="仿宋_GB2312"/>
          <w:b w:val="0"/>
          <w:bCs w:val="0"/>
          <w:w w:val="98"/>
          <w:sz w:val="32"/>
          <w:szCs w:val="32"/>
          <w:lang w:val="en-US" w:eastAsia="zh-CN"/>
        </w:rPr>
        <w:t xml:space="preserve"> </w:t>
      </w:r>
    </w:p>
    <w:sectPr>
      <w:footerReference r:id="rId3" w:type="default"/>
      <w:pgSz w:w="11906" w:h="16838"/>
      <w:pgMar w:top="1871" w:right="1701" w:bottom="1701" w:left="1701" w:header="850" w:footer="992" w:gutter="0"/>
      <w:pgNumType w:fmt="numberInDash" w:start="12"/>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  \* MERGEFORMAT </w:instrText>
                          </w:r>
                          <w:r>
                            <w:rPr>
                              <w:rFonts w:hint="eastAsia" w:ascii="宋体" w:hAnsi="宋体" w:eastAsia="宋体" w:cs="宋体"/>
                              <w:sz w:val="30"/>
                              <w:szCs w:val="30"/>
                            </w:rPr>
                            <w:fldChar w:fldCharType="separate"/>
                          </w:r>
                          <w:r>
                            <w:rPr>
                              <w:rFonts w:hint="eastAsia" w:ascii="宋体" w:hAnsi="宋体" w:eastAsia="宋体" w:cs="宋体"/>
                              <w:sz w:val="30"/>
                              <w:szCs w:val="30"/>
                            </w:rPr>
                            <w:t>- 1 -</w:t>
                          </w:r>
                          <w:r>
                            <w:rPr>
                              <w:rFonts w:hint="eastAsia" w:ascii="宋体" w:hAnsi="宋体" w:eastAsia="宋体" w:cs="宋体"/>
                              <w:sz w:val="30"/>
                              <w:szCs w:val="30"/>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  \* MERGEFORMAT </w:instrText>
                    </w:r>
                    <w:r>
                      <w:rPr>
                        <w:rFonts w:hint="eastAsia" w:ascii="宋体" w:hAnsi="宋体" w:eastAsia="宋体" w:cs="宋体"/>
                        <w:sz w:val="30"/>
                        <w:szCs w:val="30"/>
                      </w:rPr>
                      <w:fldChar w:fldCharType="separate"/>
                    </w:r>
                    <w:r>
                      <w:rPr>
                        <w:rFonts w:hint="eastAsia" w:ascii="宋体" w:hAnsi="宋体" w:eastAsia="宋体" w:cs="宋体"/>
                        <w:sz w:val="30"/>
                        <w:szCs w:val="30"/>
                      </w:rPr>
                      <w:t>- 1 -</w:t>
                    </w:r>
                    <w:r>
                      <w:rPr>
                        <w:rFonts w:hint="eastAsia" w:ascii="宋体" w:hAnsi="宋体" w:eastAsia="宋体" w:cs="宋体"/>
                        <w:sz w:val="30"/>
                        <w:szCs w:val="30"/>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5"/>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a:effectLst/>
                    </wps:spPr>
                    <wps:txbx>
                      <w:txbxContent>
                        <w:p>
                          <w:pPr>
                            <w:pStyle w:val="5"/>
                            <w:rPr>
                              <w:rFonts w:hint="eastAsia" w:eastAsia="宋体"/>
                              <w:lang w:eastAsia="zh-CN"/>
                            </w:rPr>
                          </w:pP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aGmCS9MAAAAFAQAADwAAAAAAAAABACAA&#10;AAA4AAAAZHJzL2Rvd25yZXYueG1sUEsBAhQAFAAAAAgAh07iQMqCKl3DAQAAagMAAA4AAAAAAAAA&#10;AQAgAAAAOAEAAGRycy9lMm9Eb2MueG1sUEsFBgAAAAAGAAYAWQEAAG0FAAAAAA==&#10;">
              <v:fill on="f" focussize="0,0"/>
              <v:stroke on="f" weight="1.25pt"/>
              <v:imagedata o:title=""/>
              <o:lock v:ext="edit" aspectratio="f"/>
              <v:textbox inset="0mm,0mm,0mm,0mm" style="mso-fit-shape-to-text:t;">
                <w:txbxContent>
                  <w:p>
                    <w:pPr>
                      <w:pStyle w:val="5"/>
                      <w:rPr>
                        <w:rFonts w:hint="eastAsia" w:eastAsia="宋体"/>
                        <w:lang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B4A5EC"/>
    <w:multiLevelType w:val="singleLevel"/>
    <w:tmpl w:val="DCB4A5EC"/>
    <w:lvl w:ilvl="0" w:tentative="0">
      <w:start w:val="1"/>
      <w:numFmt w:val="chineseCounting"/>
      <w:suff w:val="nothing"/>
      <w:lvlText w:val="（%1）"/>
      <w:lvlJc w:val="left"/>
      <w:rPr>
        <w:rFonts w:hint="eastAsia"/>
      </w:rPr>
    </w:lvl>
  </w:abstractNum>
  <w:abstractNum w:abstractNumId="1">
    <w:nsid w:val="4276ADB9"/>
    <w:multiLevelType w:val="singleLevel"/>
    <w:tmpl w:val="4276ADB9"/>
    <w:lvl w:ilvl="0" w:tentative="0">
      <w:start w:val="5"/>
      <w:numFmt w:val="chineseCounting"/>
      <w:suff w:val="nothing"/>
      <w:lvlText w:val="（%1）"/>
      <w:lvlJc w:val="left"/>
      <w:rPr>
        <w:rFonts w:hint="eastAsia" w:ascii="楷体_GB2312" w:hAnsi="楷体_GB2312" w:eastAsia="楷体_GB2312" w:cs="楷体_GB2312"/>
      </w:rPr>
    </w:lvl>
  </w:abstractNum>
  <w:abstractNum w:abstractNumId="2">
    <w:nsid w:val="44EC8683"/>
    <w:multiLevelType w:val="singleLevel"/>
    <w:tmpl w:val="44EC8683"/>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embedSystemFonts/>
  <w:bordersDoNotSurroundHeader w:val="true"/>
  <w:bordersDoNotSurroundFooter w:val="true"/>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mM2ViZjcyNmRkY2U4NWE5MWRlZGYyYjA5ZmNkM2QifQ=="/>
  </w:docVars>
  <w:rsids>
    <w:rsidRoot w:val="53D070BB"/>
    <w:rsid w:val="01961FB6"/>
    <w:rsid w:val="02B67D06"/>
    <w:rsid w:val="04CC7B49"/>
    <w:rsid w:val="05670926"/>
    <w:rsid w:val="06E7449A"/>
    <w:rsid w:val="086B43FE"/>
    <w:rsid w:val="09A27FC6"/>
    <w:rsid w:val="0A360113"/>
    <w:rsid w:val="0A7F4AB9"/>
    <w:rsid w:val="0B3A5C6C"/>
    <w:rsid w:val="0CAC4948"/>
    <w:rsid w:val="0E5C6A93"/>
    <w:rsid w:val="0EAC3835"/>
    <w:rsid w:val="100919D3"/>
    <w:rsid w:val="104B4477"/>
    <w:rsid w:val="109E7FCF"/>
    <w:rsid w:val="10F5713F"/>
    <w:rsid w:val="11417CAC"/>
    <w:rsid w:val="12406FEB"/>
    <w:rsid w:val="140C31AF"/>
    <w:rsid w:val="14E01016"/>
    <w:rsid w:val="150338D6"/>
    <w:rsid w:val="158D684F"/>
    <w:rsid w:val="159A343E"/>
    <w:rsid w:val="15CD67F1"/>
    <w:rsid w:val="15D47151"/>
    <w:rsid w:val="16581035"/>
    <w:rsid w:val="178E050B"/>
    <w:rsid w:val="17D36446"/>
    <w:rsid w:val="17D71710"/>
    <w:rsid w:val="17E7087B"/>
    <w:rsid w:val="18317FEF"/>
    <w:rsid w:val="18445E11"/>
    <w:rsid w:val="1A6F1DF5"/>
    <w:rsid w:val="1AE47A45"/>
    <w:rsid w:val="1B3E750B"/>
    <w:rsid w:val="1B4B0F76"/>
    <w:rsid w:val="1B7A7662"/>
    <w:rsid w:val="1C4274E7"/>
    <w:rsid w:val="20806C97"/>
    <w:rsid w:val="20D037FD"/>
    <w:rsid w:val="219338AC"/>
    <w:rsid w:val="221F0B81"/>
    <w:rsid w:val="225A2549"/>
    <w:rsid w:val="238F2A1A"/>
    <w:rsid w:val="24520110"/>
    <w:rsid w:val="260560B7"/>
    <w:rsid w:val="267D12B4"/>
    <w:rsid w:val="26EB6476"/>
    <w:rsid w:val="27CA0849"/>
    <w:rsid w:val="280D5E37"/>
    <w:rsid w:val="29D50B2E"/>
    <w:rsid w:val="2B294058"/>
    <w:rsid w:val="2F23268C"/>
    <w:rsid w:val="307F0B1B"/>
    <w:rsid w:val="33774846"/>
    <w:rsid w:val="33B3381D"/>
    <w:rsid w:val="33D12055"/>
    <w:rsid w:val="34BD493A"/>
    <w:rsid w:val="34CC1DC2"/>
    <w:rsid w:val="357108F0"/>
    <w:rsid w:val="35DB702F"/>
    <w:rsid w:val="360E62E1"/>
    <w:rsid w:val="388000FD"/>
    <w:rsid w:val="388924FB"/>
    <w:rsid w:val="388D5BE0"/>
    <w:rsid w:val="390F30FF"/>
    <w:rsid w:val="39C96278"/>
    <w:rsid w:val="3A7C41B0"/>
    <w:rsid w:val="3B2A309B"/>
    <w:rsid w:val="3B3C553B"/>
    <w:rsid w:val="3CA631B1"/>
    <w:rsid w:val="3D003761"/>
    <w:rsid w:val="3E130E0A"/>
    <w:rsid w:val="3E3B7C2C"/>
    <w:rsid w:val="3E82074F"/>
    <w:rsid w:val="3F9C75CF"/>
    <w:rsid w:val="3FC80A7B"/>
    <w:rsid w:val="4086107D"/>
    <w:rsid w:val="40A04034"/>
    <w:rsid w:val="415A634E"/>
    <w:rsid w:val="41F705ED"/>
    <w:rsid w:val="42484335"/>
    <w:rsid w:val="428C013D"/>
    <w:rsid w:val="434F35E9"/>
    <w:rsid w:val="43B203B2"/>
    <w:rsid w:val="44B9037D"/>
    <w:rsid w:val="459A57A4"/>
    <w:rsid w:val="477C1B40"/>
    <w:rsid w:val="490D0BE8"/>
    <w:rsid w:val="491D4346"/>
    <w:rsid w:val="49210440"/>
    <w:rsid w:val="4B8F2534"/>
    <w:rsid w:val="4C846751"/>
    <w:rsid w:val="4CF8673A"/>
    <w:rsid w:val="4D487D3A"/>
    <w:rsid w:val="4F2A043F"/>
    <w:rsid w:val="4FAF794C"/>
    <w:rsid w:val="50097F83"/>
    <w:rsid w:val="50281F05"/>
    <w:rsid w:val="50EE7D69"/>
    <w:rsid w:val="52A0403F"/>
    <w:rsid w:val="52D95E0A"/>
    <w:rsid w:val="53D070BB"/>
    <w:rsid w:val="55AA17BE"/>
    <w:rsid w:val="55D12BAD"/>
    <w:rsid w:val="57F23579"/>
    <w:rsid w:val="58046DC9"/>
    <w:rsid w:val="593C3079"/>
    <w:rsid w:val="593F6BE6"/>
    <w:rsid w:val="5AA62A34"/>
    <w:rsid w:val="5AD4315E"/>
    <w:rsid w:val="5C09447C"/>
    <w:rsid w:val="5C314FCB"/>
    <w:rsid w:val="5C88281F"/>
    <w:rsid w:val="5D380D72"/>
    <w:rsid w:val="5D44726E"/>
    <w:rsid w:val="5DCD47EA"/>
    <w:rsid w:val="5E8431A7"/>
    <w:rsid w:val="5EB6373A"/>
    <w:rsid w:val="60CA3F72"/>
    <w:rsid w:val="635F4A51"/>
    <w:rsid w:val="655A274B"/>
    <w:rsid w:val="657048D0"/>
    <w:rsid w:val="65A5740B"/>
    <w:rsid w:val="67035E62"/>
    <w:rsid w:val="68774530"/>
    <w:rsid w:val="6B4F1400"/>
    <w:rsid w:val="6E491A1A"/>
    <w:rsid w:val="6EAB3638"/>
    <w:rsid w:val="70390848"/>
    <w:rsid w:val="73255066"/>
    <w:rsid w:val="73CC211A"/>
    <w:rsid w:val="73CD3743"/>
    <w:rsid w:val="74B91438"/>
    <w:rsid w:val="74BC5A03"/>
    <w:rsid w:val="754C0352"/>
    <w:rsid w:val="76836F87"/>
    <w:rsid w:val="76F031C0"/>
    <w:rsid w:val="79420A1D"/>
    <w:rsid w:val="7E372D8F"/>
    <w:rsid w:val="7EA90BD2"/>
    <w:rsid w:val="7EB704F1"/>
    <w:rsid w:val="7F286C4F"/>
    <w:rsid w:val="7F914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5"/>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Calibri" w:hAnsi="Calibri" w:eastAsia="宋体" w:cs="Times New Roman"/>
      <w:sz w:val="32"/>
      <w:szCs w:val="32"/>
    </w:rPr>
  </w:style>
  <w:style w:type="paragraph" w:styleId="3">
    <w:name w:val="Normal Indent"/>
    <w:basedOn w:val="1"/>
    <w:unhideWhenUsed/>
    <w:qFormat/>
    <w:uiPriority w:val="99"/>
    <w:pPr>
      <w:ind w:firstLine="420" w:firstLineChars="200"/>
    </w:pPr>
  </w:style>
  <w:style w:type="paragraph" w:styleId="4">
    <w:name w:val="Body Text Indent"/>
    <w:basedOn w:val="1"/>
    <w:qFormat/>
    <w:uiPriority w:val="0"/>
    <w:pPr>
      <w:spacing w:after="120"/>
      <w:ind w:left="420" w:leftChars="200"/>
    </w:pPr>
    <w:rPr>
      <w:rFonts w:ascii="Calibri" w:hAnsi="Calibri" w:eastAsia="宋体"/>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Autospacing="1" w:afterAutospacing="1" w:line="240" w:lineRule="auto"/>
      <w:jc w:val="left"/>
    </w:pPr>
    <w:rPr>
      <w:rFonts w:ascii="Calibri" w:hAnsi="Calibri" w:eastAsia="宋体"/>
      <w:kern w:val="0"/>
      <w:sz w:val="24"/>
      <w:szCs w:val="24"/>
    </w:rPr>
  </w:style>
  <w:style w:type="paragraph" w:styleId="8">
    <w:name w:val="Title"/>
    <w:basedOn w:val="1"/>
    <w:next w:val="4"/>
    <w:qFormat/>
    <w:uiPriority w:val="0"/>
    <w:pPr>
      <w:spacing w:before="240" w:after="60"/>
      <w:jc w:val="center"/>
      <w:outlineLvl w:val="0"/>
    </w:pPr>
    <w:rPr>
      <w:rFonts w:ascii="Cambria" w:hAnsi="Cambria" w:eastAsia="宋体"/>
      <w:b/>
      <w:szCs w:val="20"/>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首行缩进 21"/>
    <w:basedOn w:val="13"/>
    <w:next w:val="7"/>
    <w:qFormat/>
    <w:uiPriority w:val="0"/>
    <w:pPr>
      <w:ind w:left="200" w:leftChars="200" w:firstLine="200" w:firstLineChars="200"/>
    </w:pPr>
  </w:style>
  <w:style w:type="paragraph" w:customStyle="1" w:styleId="13">
    <w:name w:val="正文文本缩进1"/>
    <w:basedOn w:val="1"/>
    <w:qFormat/>
    <w:uiPriority w:val="0"/>
    <w:pPr>
      <w:ind w:left="200" w:leftChars="200"/>
    </w:pPr>
  </w:style>
  <w:style w:type="paragraph" w:customStyle="1" w:styleId="14">
    <w:name w:val="正文3"/>
    <w:qFormat/>
    <w:uiPriority w:val="0"/>
    <w:pPr>
      <w:spacing w:line="500" w:lineRule="exact"/>
      <w:ind w:firstLine="200" w:firstLineChars="200"/>
    </w:pPr>
    <w:rPr>
      <w:rFonts w:ascii="Times New Roman" w:hAnsi="Times New Roman" w:eastAsia="宋体" w:cs="Times New Roman"/>
      <w:b/>
      <w:bCs/>
      <w:snapToGrid w:val="0"/>
      <w:color w:val="000000"/>
      <w:sz w:val="21"/>
      <w:szCs w:val="22"/>
      <w:lang w:val="en-US" w:eastAsia="zh-CN" w:bidi="ar-SA"/>
    </w:rPr>
  </w:style>
  <w:style w:type="character" w:customStyle="1" w:styleId="15">
    <w:name w:val="NormalCharacter"/>
    <w:link w:val="1"/>
    <w:semiHidden/>
    <w:qFormat/>
    <w:uiPriority w:val="0"/>
    <w:rPr>
      <w:rFonts w:ascii="Calibri" w:hAnsi="Calibri" w:eastAsia="宋体" w:cs="Times New Roman"/>
      <w:kern w:val="2"/>
      <w:sz w:val="21"/>
      <w:szCs w:val="22"/>
      <w:lang w:val="en-US" w:eastAsia="zh-CN" w:bidi="ar-SA"/>
    </w:rPr>
  </w:style>
  <w:style w:type="paragraph" w:customStyle="1" w:styleId="16">
    <w:name w:val="正文首行缩进2字符"/>
    <w:basedOn w:val="3"/>
    <w:next w:val="1"/>
    <w:qFormat/>
    <w:uiPriority w:val="0"/>
    <w:pPr>
      <w:spacing w:line="600" w:lineRule="exact"/>
      <w:ind w:firstLine="64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180</Words>
  <Characters>186</Characters>
  <Lines>0</Lines>
  <Paragraphs>0</Paragraphs>
  <TotalTime>5</TotalTime>
  <ScaleCrop>false</ScaleCrop>
  <LinksUpToDate>false</LinksUpToDate>
  <CharactersWithSpaces>249</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2021-11-16T08:47:00Z</dcterms:created>
  <dc:creator>dell</dc:creator>
  <cp:lastModifiedBy>user</cp:lastModifiedBy>
  <cp:lastPrinted>2023-09-18T10:24:00Z</cp:lastPrinted>
  <dcterms:modified xsi:type="dcterms:W3CDTF">2024-04-16T17:38:58Z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D195EF3E69544CC79D173324EA093CC6</vt:lpwstr>
  </property>
</Properties>
</file>