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76" w:lineRule="exact"/>
        <w:rPr>
          <w:rFonts w:ascii="Times New Roman" w:hAnsi="Times New Roman" w:eastAsia="仿宋_GB2312" w:cs="仿宋_GB2312"/>
          <w:color w:val="auto"/>
          <w:sz w:val="32"/>
          <w:szCs w:val="32"/>
        </w:rPr>
      </w:pPr>
    </w:p>
    <w:p>
      <w:pPr>
        <w:shd w:val="clear"/>
        <w:spacing w:line="576" w:lineRule="exact"/>
        <w:rPr>
          <w:rFonts w:ascii="Times New Roman" w:hAnsi="Times New Roman" w:eastAsia="仿宋_GB2312" w:cs="仿宋_GB2312"/>
          <w:color w:val="auto"/>
          <w:sz w:val="32"/>
          <w:szCs w:val="32"/>
        </w:rPr>
      </w:pPr>
    </w:p>
    <w:p>
      <w:pPr>
        <w:shd w:val="clear"/>
        <w:spacing w:line="576" w:lineRule="exact"/>
        <w:rPr>
          <w:rFonts w:ascii="Times New Roman" w:hAnsi="Times New Roman" w:eastAsia="仿宋_GB2312" w:cs="仿宋_GB2312"/>
          <w:color w:val="auto"/>
          <w:sz w:val="32"/>
          <w:szCs w:val="32"/>
        </w:rPr>
      </w:pPr>
      <w:bookmarkStart w:id="1" w:name="_GoBack"/>
      <w:bookmarkEnd w:id="1"/>
    </w:p>
    <w:p>
      <w:pPr>
        <w:shd w:val="clear"/>
        <w:spacing w:line="576" w:lineRule="exact"/>
        <w:rPr>
          <w:rFonts w:ascii="Times New Roman" w:hAnsi="Times New Roman" w:eastAsia="仿宋_GB2312" w:cs="仿宋_GB2312"/>
          <w:color w:val="auto"/>
          <w:sz w:val="32"/>
          <w:szCs w:val="32"/>
        </w:rPr>
      </w:pPr>
    </w:p>
    <w:p>
      <w:pPr>
        <w:shd w:val="clear"/>
        <w:spacing w:line="576" w:lineRule="exact"/>
        <w:rPr>
          <w:rFonts w:ascii="Times New Roman" w:hAnsi="Times New Roman" w:eastAsia="仿宋_GB2312" w:cs="仿宋_GB2312"/>
          <w:color w:val="auto"/>
          <w:sz w:val="32"/>
          <w:szCs w:val="32"/>
        </w:rPr>
      </w:pPr>
    </w:p>
    <w:p>
      <w:pPr>
        <w:shd w:val="clear"/>
        <w:rPr>
          <w:rFonts w:ascii="Times New Roman" w:hAnsi="Times New Roman" w:eastAsia="仿宋_GB2312"/>
          <w:color w:val="auto"/>
        </w:rPr>
      </w:pPr>
    </w:p>
    <w:p>
      <w:pPr>
        <w:shd w:val="clear"/>
        <w:spacing w:line="576" w:lineRule="exact"/>
        <w:jc w:val="center"/>
        <w:rPr>
          <w:rFonts w:ascii="Times New Roman" w:hAnsi="Times New Roman" w:eastAsia="仿宋_GB2312" w:cs="仿宋_GB2312"/>
          <w:color w:val="auto"/>
          <w:sz w:val="32"/>
          <w:szCs w:val="32"/>
        </w:rPr>
      </w:pPr>
    </w:p>
    <w:p>
      <w:pPr>
        <w:shd w:val="clear"/>
        <w:spacing w:line="576" w:lineRule="exact"/>
        <w:jc w:val="center"/>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襄政办发</w:t>
      </w:r>
      <w:r>
        <w:rPr>
          <w:rFonts w:ascii="Times New Roman" w:hAnsi="Times New Roman" w:eastAsia="仿宋_GB2312"/>
          <w:color w:val="auto"/>
          <w:sz w:val="32"/>
          <w:szCs w:val="32"/>
        </w:rPr>
        <w:t>〔2021〕</w:t>
      </w:r>
      <w:r>
        <w:rPr>
          <w:rFonts w:hint="eastAsia" w:ascii="Times New Roman" w:hAnsi="Times New Roman" w:eastAsia="仿宋_GB2312" w:cs="仿宋_GB2312"/>
          <w:color w:val="auto"/>
          <w:sz w:val="32"/>
          <w:szCs w:val="32"/>
          <w:lang w:val="en-US" w:eastAsia="zh-CN"/>
        </w:rPr>
        <w:t>49</w:t>
      </w:r>
      <w:r>
        <w:rPr>
          <w:rFonts w:hint="eastAsia" w:ascii="Times New Roman" w:hAnsi="Times New Roman" w:eastAsia="仿宋_GB2312" w:cs="仿宋_GB2312"/>
          <w:color w:val="auto"/>
          <w:sz w:val="32"/>
          <w:szCs w:val="32"/>
        </w:rPr>
        <w:t>号</w:t>
      </w:r>
    </w:p>
    <w:p>
      <w:pPr>
        <w:shd w:val="clear"/>
        <w:spacing w:line="576" w:lineRule="exact"/>
        <w:rPr>
          <w:rFonts w:ascii="Times New Roman" w:hAnsi="Times New Roman" w:eastAsia="仿宋_GB2312" w:cs="仿宋_GB2312"/>
          <w:color w:val="auto"/>
          <w:sz w:val="32"/>
          <w:szCs w:val="32"/>
        </w:rPr>
      </w:pPr>
    </w:p>
    <w:p>
      <w:pPr>
        <w:shd w:val="clear"/>
        <w:spacing w:line="576" w:lineRule="exact"/>
        <w:rPr>
          <w:rFonts w:ascii="Times New Roman" w:hAnsi="Times New Roman" w:eastAsia="仿宋_GB2312"/>
          <w:color w:val="auto"/>
        </w:rPr>
      </w:pPr>
    </w:p>
    <w:p>
      <w:pPr>
        <w:shd w:val="clear"/>
        <w:spacing w:line="576" w:lineRule="exact"/>
        <w:jc w:val="center"/>
        <w:rPr>
          <w:rFonts w:hint="eastAsia" w:ascii="Times New Roman" w:hAnsi="Times New Roman" w:eastAsia="方正小标宋_GBK" w:cs="方正小标宋_GBK"/>
          <w:color w:val="auto"/>
          <w:kern w:val="44"/>
          <w:sz w:val="44"/>
          <w:szCs w:val="44"/>
        </w:rPr>
      </w:pPr>
      <w:r>
        <w:rPr>
          <w:rFonts w:hint="eastAsia" w:ascii="Times New Roman" w:hAnsi="Times New Roman" w:eastAsia="方正小标宋_GBK" w:cs="方正小标宋_GBK"/>
          <w:color w:val="auto"/>
          <w:kern w:val="44"/>
          <w:sz w:val="44"/>
          <w:szCs w:val="44"/>
        </w:rPr>
        <w:t>襄垣县人民政府办公室</w:t>
      </w:r>
    </w:p>
    <w:p>
      <w:pPr>
        <w:pStyle w:val="2"/>
        <w:widowControl/>
        <w:shd w:val="clear"/>
        <w:spacing w:beforeAutospacing="0" w:afterAutospacing="0" w:line="576" w:lineRule="exact"/>
        <w:jc w:val="center"/>
        <w:rPr>
          <w:rFonts w:hint="eastAsia" w:ascii="Times New Roman" w:hAnsi="Times New Roman" w:eastAsia="方正小标宋_GBK" w:cs="方正小标宋_GBK"/>
          <w:b w:val="0"/>
          <w:bCs w:val="0"/>
          <w:color w:val="auto"/>
          <w:sz w:val="44"/>
          <w:szCs w:val="44"/>
        </w:rPr>
      </w:pPr>
      <w:r>
        <w:rPr>
          <w:rFonts w:hint="eastAsia" w:ascii="Times New Roman" w:hAnsi="Times New Roman" w:eastAsia="方正小标宋_GBK" w:cs="方正小标宋_GBK"/>
          <w:b w:val="0"/>
          <w:bCs w:val="0"/>
          <w:color w:val="auto"/>
          <w:sz w:val="44"/>
          <w:szCs w:val="44"/>
        </w:rPr>
        <w:t>关于印发襄垣县优化营商环境完善政务服务</w:t>
      </w:r>
    </w:p>
    <w:p>
      <w:pPr>
        <w:pStyle w:val="2"/>
        <w:widowControl/>
        <w:shd w:val="clear"/>
        <w:spacing w:beforeAutospacing="0" w:afterAutospacing="0" w:line="576" w:lineRule="exact"/>
        <w:jc w:val="center"/>
        <w:rPr>
          <w:rFonts w:hint="eastAsia" w:ascii="Times New Roman" w:hAnsi="Times New Roman" w:eastAsia="方正小标宋_GBK" w:cs="方正小标宋_GBK"/>
          <w:b w:val="0"/>
          <w:bCs w:val="0"/>
          <w:color w:val="auto"/>
          <w:sz w:val="44"/>
          <w:szCs w:val="44"/>
        </w:rPr>
      </w:pPr>
      <w:r>
        <w:rPr>
          <w:rFonts w:hint="eastAsia" w:ascii="Times New Roman" w:hAnsi="Times New Roman" w:eastAsia="方正小标宋_GBK" w:cs="方正小标宋_GBK"/>
          <w:b w:val="0"/>
          <w:bCs w:val="0"/>
          <w:color w:val="auto"/>
          <w:sz w:val="44"/>
          <w:szCs w:val="44"/>
        </w:rPr>
        <w:t>体系建设工作方案的通知</w:t>
      </w:r>
    </w:p>
    <w:p>
      <w:pPr>
        <w:pStyle w:val="7"/>
        <w:widowControl/>
        <w:shd w:val="clear"/>
        <w:spacing w:beforeAutospacing="0" w:afterAutospacing="0" w:line="576" w:lineRule="exact"/>
        <w:rPr>
          <w:rFonts w:ascii="Times New Roman" w:hAnsi="Times New Roman" w:eastAsia="仿宋_GB2312" w:cs="宋体"/>
          <w:color w:val="auto"/>
        </w:rPr>
      </w:pPr>
    </w:p>
    <w:p>
      <w:pPr>
        <w:pStyle w:val="7"/>
        <w:widowControl/>
        <w:shd w:val="clear"/>
        <w:spacing w:beforeAutospacing="0" w:afterAutospacing="0" w:line="576" w:lineRule="exac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各镇人民政府，经开区管委会，县直各有关</w:t>
      </w:r>
      <w:r>
        <w:rPr>
          <w:rFonts w:hint="eastAsia" w:ascii="Times New Roman" w:hAnsi="Times New Roman" w:eastAsia="仿宋_GB2312" w:cs="仿宋_GB2312"/>
          <w:color w:val="auto"/>
          <w:sz w:val="32"/>
          <w:szCs w:val="32"/>
          <w:lang w:eastAsia="zh-CN"/>
        </w:rPr>
        <w:t>单位</w:t>
      </w:r>
      <w:r>
        <w:rPr>
          <w:rFonts w:hint="eastAsia" w:ascii="Times New Roman" w:hAnsi="Times New Roman" w:eastAsia="仿宋_GB2312" w:cs="仿宋_GB2312"/>
          <w:color w:val="auto"/>
          <w:sz w:val="32"/>
          <w:szCs w:val="32"/>
        </w:rPr>
        <w:t>：</w:t>
      </w:r>
    </w:p>
    <w:p>
      <w:pPr>
        <w:pStyle w:val="7"/>
        <w:keepNext w:val="0"/>
        <w:keepLines w:val="0"/>
        <w:pageBreakBefore w:val="0"/>
        <w:widowControl w:val="0"/>
        <w:shd w:val="clear"/>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《襄垣县优化营商环境完善政务服务体系建设工作方案》已经县人民政府同意，现印发给你们，请认真贯彻落实。</w:t>
      </w:r>
    </w:p>
    <w:p>
      <w:pPr>
        <w:pStyle w:val="7"/>
        <w:shd w:val="clear"/>
        <w:overflowPunct w:val="0"/>
        <w:spacing w:beforeAutospacing="0" w:afterAutospacing="0" w:line="576" w:lineRule="exact"/>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w:t>
      </w:r>
    </w:p>
    <w:p>
      <w:pPr>
        <w:pStyle w:val="7"/>
        <w:shd w:val="clear"/>
        <w:overflowPunct w:val="0"/>
        <w:spacing w:beforeAutospacing="0" w:afterAutospacing="0" w:line="576" w:lineRule="exact"/>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w:t>
      </w:r>
    </w:p>
    <w:p>
      <w:pPr>
        <w:pStyle w:val="7"/>
        <w:keepNext w:val="0"/>
        <w:keepLines w:val="0"/>
        <w:pageBreakBefore w:val="0"/>
        <w:widowControl w:val="0"/>
        <w:shd w:val="clear"/>
        <w:kinsoku/>
        <w:wordWrap w:val="0"/>
        <w:overflowPunct w:val="0"/>
        <w:topLinePunct w:val="0"/>
        <w:autoSpaceDE/>
        <w:autoSpaceDN/>
        <w:bidi w:val="0"/>
        <w:adjustRightInd/>
        <w:snapToGrid/>
        <w:spacing w:beforeAutospacing="0" w:afterAutospacing="0" w:line="576" w:lineRule="exact"/>
        <w:ind w:right="63" w:rightChars="30"/>
        <w:jc w:val="right"/>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襄垣县人民政府办公室      </w:t>
      </w:r>
    </w:p>
    <w:p>
      <w:pPr>
        <w:pStyle w:val="7"/>
        <w:widowControl/>
        <w:shd w:val="clear"/>
        <w:wordWrap w:val="0"/>
        <w:spacing w:beforeAutospacing="0" w:afterAutospacing="0" w:line="576" w:lineRule="exact"/>
        <w:jc w:val="right"/>
        <w:rPr>
          <w:rFonts w:hint="eastAsia" w:ascii="Times New Roman" w:hAnsi="Times New Roman" w:eastAsia="仿宋_GB2312" w:cs="仿宋"/>
          <w:color w:val="auto"/>
          <w:sz w:val="32"/>
          <w:szCs w:val="32"/>
          <w:lang w:eastAsia="zh-CN"/>
        </w:rPr>
      </w:pPr>
      <w:r>
        <w:rPr>
          <w:rFonts w:hint="eastAsia" w:ascii="Times New Roman" w:hAnsi="Times New Roman" w:eastAsia="仿宋_GB2312" w:cs="仿宋"/>
          <w:color w:val="auto"/>
          <w:sz w:val="32"/>
          <w:szCs w:val="32"/>
        </w:rPr>
        <w:t>　　2021年11月</w:t>
      </w:r>
      <w:r>
        <w:rPr>
          <w:rFonts w:hint="eastAsia" w:ascii="Times New Roman" w:hAnsi="Times New Roman" w:eastAsia="仿宋_GB2312" w:cs="仿宋"/>
          <w:color w:val="auto"/>
          <w:sz w:val="32"/>
          <w:szCs w:val="32"/>
          <w:lang w:val="en-US" w:eastAsia="zh-CN"/>
        </w:rPr>
        <w:t>24</w:t>
      </w:r>
      <w:r>
        <w:rPr>
          <w:rFonts w:hint="eastAsia" w:ascii="Times New Roman" w:hAnsi="Times New Roman" w:eastAsia="仿宋_GB2312" w:cs="仿宋"/>
          <w:color w:val="auto"/>
          <w:sz w:val="32"/>
          <w:szCs w:val="32"/>
        </w:rPr>
        <w:t>日</w:t>
      </w:r>
      <w:r>
        <w:rPr>
          <w:rFonts w:hint="eastAsia" w:ascii="Times New Roman" w:hAnsi="Times New Roman" w:eastAsia="仿宋_GB2312" w:cs="仿宋"/>
          <w:color w:val="auto"/>
          <w:sz w:val="32"/>
          <w:szCs w:val="32"/>
          <w:lang w:eastAsia="zh-CN"/>
        </w:rPr>
        <w:t>　　　　</w:t>
      </w:r>
    </w:p>
    <w:p>
      <w:pPr>
        <w:pStyle w:val="7"/>
        <w:widowControl/>
        <w:shd w:val="clear"/>
        <w:spacing w:beforeAutospacing="0" w:afterAutospacing="0" w:line="576" w:lineRule="exact"/>
        <w:ind w:firstLine="640" w:firstLineChars="200"/>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（此件公开发布）</w:t>
      </w:r>
    </w:p>
    <w:p>
      <w:pPr>
        <w:pStyle w:val="7"/>
        <w:shd w:val="clear"/>
        <w:overflowPunct w:val="0"/>
        <w:spacing w:beforeAutospacing="0" w:afterAutospacing="0" w:line="576" w:lineRule="exact"/>
        <w:ind w:firstLine="2209" w:firstLineChars="500"/>
        <w:jc w:val="both"/>
        <w:rPr>
          <w:rFonts w:ascii="Times New Roman" w:hAnsi="Times New Roman" w:eastAsia="方正小标宋简体" w:cs="方正小标宋简体"/>
          <w:b/>
          <w:bCs/>
          <w:color w:val="auto"/>
          <w:sz w:val="44"/>
          <w:szCs w:val="44"/>
        </w:rPr>
      </w:pPr>
    </w:p>
    <w:p>
      <w:pPr>
        <w:pStyle w:val="7"/>
        <w:shd w:val="clear"/>
        <w:overflowPunct w:val="0"/>
        <w:spacing w:beforeAutospacing="0" w:afterAutospacing="0" w:line="576" w:lineRule="exact"/>
        <w:jc w:val="center"/>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襄垣县优化营商环境完善政务服务体系建设</w:t>
      </w:r>
    </w:p>
    <w:p>
      <w:pPr>
        <w:pStyle w:val="7"/>
        <w:shd w:val="clear"/>
        <w:overflowPunct w:val="0"/>
        <w:spacing w:beforeAutospacing="0" w:afterAutospacing="0" w:line="576" w:lineRule="exact"/>
        <w:jc w:val="center"/>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工  作  方  案</w:t>
      </w:r>
    </w:p>
    <w:p>
      <w:pPr>
        <w:pStyle w:val="7"/>
        <w:shd w:val="clear"/>
        <w:overflowPunct w:val="0"/>
        <w:spacing w:beforeAutospacing="0" w:afterAutospacing="0" w:line="576" w:lineRule="exact"/>
        <w:rPr>
          <w:rFonts w:ascii="Times New Roman" w:hAnsi="Times New Roman" w:eastAsia="仿宋" w:cs="仿宋"/>
          <w:color w:val="auto"/>
          <w:sz w:val="32"/>
          <w:szCs w:val="32"/>
        </w:rPr>
      </w:pP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为进一步深化“放管服”改革，完善政务服务体系，按照《山西省行政审批制度改革工作领导小组办公室</w:t>
      </w:r>
      <w:r>
        <w:rPr>
          <w:rFonts w:hint="eastAsia" w:ascii="Times New Roman" w:hAnsi="Times New Roman" w:eastAsia="仿宋_GB2312" w:cs="仿宋_GB2312"/>
          <w:color w:val="auto"/>
          <w:sz w:val="32"/>
          <w:szCs w:val="32"/>
          <w:highlight w:val="none"/>
        </w:rPr>
        <w:t>关于印发进一步加强基层政务服务规范化便民化建设的实施方案</w:t>
      </w:r>
      <w:r>
        <w:rPr>
          <w:rFonts w:hint="eastAsia" w:ascii="Times New Roman" w:hAnsi="Times New Roman" w:eastAsia="仿宋_GB2312" w:cs="仿宋_GB2312"/>
          <w:color w:val="auto"/>
          <w:sz w:val="32"/>
          <w:szCs w:val="32"/>
        </w:rPr>
        <w:t>的通知》（晋审改办〔2021〕2号）、《长治市人民政府办公室关于印发长治市优化营商环境推进放权赋能工作方案的通知》并结合我县实际，制定本方案。</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一、工作目标</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2021年12月底前，围绕打造省、市、县、</w:t>
      </w:r>
      <w:r>
        <w:rPr>
          <w:rFonts w:hint="eastAsia" w:ascii="Times New Roman" w:hAnsi="Times New Roman" w:eastAsia="仿宋_GB2312" w:cs="仿宋_GB2312"/>
          <w:color w:val="auto"/>
          <w:sz w:val="32"/>
          <w:szCs w:val="32"/>
          <w:lang w:eastAsia="zh-CN"/>
        </w:rPr>
        <w:t>镇</w:t>
      </w:r>
      <w:r>
        <w:rPr>
          <w:rFonts w:hint="eastAsia" w:ascii="Times New Roman" w:hAnsi="Times New Roman" w:eastAsia="仿宋_GB2312" w:cs="仿宋_GB2312"/>
          <w:color w:val="auto"/>
          <w:sz w:val="32"/>
          <w:szCs w:val="32"/>
        </w:rPr>
        <w:t>、村五级政务服务体系和便民事项“就近能办、多点可办、少跑快办”目标，以标准化建设、规范化管理、信息化运用为重点，完成9个镇综合便民服务中心建设任务；结合实际分批推进村便民服务点建设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2021年12月底前，相关镇完成9个社区便民服务点建设任务，各镇每个片至少完成1个村服务点建设任务，推进有条件的村开展便民服务点建设，确保改革任务尽快落地见效。</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二、重点任务</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3" w:firstLineChars="200"/>
        <w:jc w:val="both"/>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（一）规范机构建设，提升镇村便民服务能力</w:t>
      </w:r>
    </w:p>
    <w:p>
      <w:pPr>
        <w:keepNext w:val="0"/>
        <w:keepLines w:val="0"/>
        <w:pageBreakBefore w:val="0"/>
        <w:widowControl w:val="0"/>
        <w:shd w:val="clear"/>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sz w:val="32"/>
          <w:szCs w:val="32"/>
        </w:rPr>
        <w:t>1．</w:t>
      </w:r>
      <w:r>
        <w:rPr>
          <w:rFonts w:hint="eastAsia" w:ascii="Times New Roman" w:hAnsi="Times New Roman" w:eastAsia="仿宋_GB2312" w:cs="仿宋_GB2312"/>
          <w:b/>
          <w:bCs/>
          <w:color w:val="auto"/>
          <w:sz w:val="32"/>
          <w:szCs w:val="32"/>
        </w:rPr>
        <w:t>推进场所标准化建设。</w:t>
      </w:r>
      <w:r>
        <w:rPr>
          <w:rFonts w:hint="eastAsia" w:ascii="Times New Roman" w:hAnsi="Times New Roman" w:eastAsia="仿宋_GB2312" w:cs="仿宋_GB2312"/>
          <w:bCs/>
          <w:color w:val="auto"/>
          <w:sz w:val="32"/>
          <w:szCs w:val="32"/>
        </w:rPr>
        <w:t>政务服务体系向镇、村（社区）延伸，</w:t>
      </w:r>
      <w:r>
        <w:rPr>
          <w:rFonts w:hint="eastAsia" w:ascii="Times New Roman" w:hAnsi="Times New Roman" w:eastAsia="仿宋_GB2312" w:cs="仿宋_GB2312"/>
          <w:color w:val="auto"/>
          <w:sz w:val="32"/>
          <w:szCs w:val="32"/>
        </w:rPr>
        <w:t>规范镇村便民服务机构名称，各镇设“XX镇综合便民服务中心”，各村（社区）设“XX村（社区）便民服务点”。2021年11月底前，完成所有镇综合便民服务中心，以及古韩镇南关村、善福镇善福村2个村级服务点试点建设任务并挂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2021年12月底前，所有</w:t>
      </w:r>
      <w:r>
        <w:rPr>
          <w:rFonts w:hint="eastAsia" w:ascii="Times New Roman" w:hAnsi="Times New Roman" w:eastAsia="仿宋_GB2312" w:cs="仿宋_GB2312"/>
          <w:color w:val="auto"/>
          <w:sz w:val="32"/>
          <w:szCs w:val="32"/>
          <w:lang w:eastAsia="zh-CN"/>
        </w:rPr>
        <w:t>村（</w:t>
      </w:r>
      <w:r>
        <w:rPr>
          <w:rFonts w:hint="eastAsia" w:ascii="Times New Roman" w:hAnsi="Times New Roman" w:eastAsia="仿宋_GB2312" w:cs="仿宋_GB2312"/>
          <w:color w:val="auto"/>
          <w:sz w:val="32"/>
          <w:szCs w:val="32"/>
        </w:rPr>
        <w:t>社区</w:t>
      </w:r>
      <w:r>
        <w:rPr>
          <w:rFonts w:hint="eastAsia" w:ascii="Times New Roman" w:hAnsi="Times New Roman" w:eastAsia="仿宋_GB2312" w:cs="仿宋_GB2312"/>
          <w:color w:val="auto"/>
          <w:sz w:val="32"/>
          <w:szCs w:val="32"/>
          <w:lang w:eastAsia="zh-CN"/>
        </w:rPr>
        <w:t>）挂牌完成，</w:t>
      </w:r>
      <w:r>
        <w:rPr>
          <w:rFonts w:hint="eastAsia" w:ascii="Times New Roman" w:hAnsi="Times New Roman" w:eastAsia="仿宋_GB2312" w:cs="仿宋_GB2312"/>
          <w:color w:val="auto"/>
          <w:sz w:val="32"/>
          <w:szCs w:val="32"/>
        </w:rPr>
        <w:t>有条件的村</w:t>
      </w:r>
      <w:r>
        <w:rPr>
          <w:rFonts w:hint="eastAsia" w:ascii="Times New Roman" w:hAnsi="Times New Roman" w:eastAsia="仿宋_GB2312" w:cs="仿宋_GB2312"/>
          <w:color w:val="auto"/>
          <w:sz w:val="32"/>
          <w:szCs w:val="32"/>
          <w:lang w:eastAsia="zh-CN"/>
        </w:rPr>
        <w:t>（社区）</w:t>
      </w:r>
      <w:r>
        <w:rPr>
          <w:rFonts w:hint="eastAsia" w:ascii="Times New Roman" w:hAnsi="Times New Roman" w:eastAsia="仿宋_GB2312" w:cs="仿宋_GB2312"/>
          <w:color w:val="auto"/>
          <w:sz w:val="32"/>
          <w:szCs w:val="32"/>
        </w:rPr>
        <w:t>完成建设任务。镇、村（社区）便民服务场所结合业务需要科学划分服务区域，科学设置开放式服务窗口，配备电脑、打印机、高拍仪、便民座椅等必要设施。县行政审批局负责具体指导，结合实际分批布设政务服务一体机。鼓励开展政银合作，推动政务服务与金融服务资源共享，实现公安、人社、医保、税务等热点事项24小时自助服务。</w:t>
      </w:r>
      <w:r>
        <w:rPr>
          <w:rFonts w:hint="eastAsia" w:ascii="Times New Roman" w:hAnsi="Times New Roman" w:eastAsia="楷体_GB2312" w:cs="楷体_GB2312"/>
          <w:b/>
          <w:color w:val="auto"/>
          <w:sz w:val="32"/>
          <w:szCs w:val="32"/>
        </w:rPr>
        <w:t>（责任单位：各镇人民政府、县行政审批局）</w:t>
      </w:r>
    </w:p>
    <w:p>
      <w:pPr>
        <w:keepNext w:val="0"/>
        <w:keepLines w:val="0"/>
        <w:pageBreakBefore w:val="0"/>
        <w:widowControl w:val="0"/>
        <w:shd w:val="clear"/>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sz w:val="32"/>
          <w:szCs w:val="32"/>
        </w:rPr>
        <w:t>2．</w:t>
      </w:r>
      <w:r>
        <w:rPr>
          <w:rFonts w:hint="eastAsia" w:ascii="Times New Roman" w:hAnsi="Times New Roman" w:eastAsia="仿宋_GB2312" w:cs="仿宋_GB2312"/>
          <w:b/>
          <w:bCs/>
          <w:color w:val="auto"/>
          <w:sz w:val="32"/>
          <w:szCs w:val="32"/>
        </w:rPr>
        <w:t>建立健全管理制度。</w:t>
      </w:r>
      <w:r>
        <w:rPr>
          <w:rFonts w:hint="eastAsia" w:ascii="Times New Roman" w:hAnsi="Times New Roman" w:eastAsia="仿宋_GB2312" w:cs="仿宋_GB2312"/>
          <w:color w:val="auto"/>
          <w:sz w:val="32"/>
          <w:szCs w:val="32"/>
        </w:rPr>
        <w:t>建立“依制度办事、以制度管人”的服务管理模式，在内外形象、服务言行和窗口管理等方面突出规范化管理，健全首问负责、一次性告知、限时办结等工作制度，健全预约服务、延时服务、代办服务等服务制度，健全考勤管理、投诉处理、责任追究、绩效考核等内部管理制度。</w:t>
      </w:r>
      <w:r>
        <w:rPr>
          <w:rFonts w:hint="eastAsia" w:ascii="Times New Roman" w:hAnsi="Times New Roman" w:eastAsia="楷体_GB2312" w:cs="楷体_GB2312"/>
          <w:b/>
          <w:color w:val="auto"/>
          <w:sz w:val="32"/>
          <w:szCs w:val="32"/>
        </w:rPr>
        <w:t>（责任单位：各镇人民政府）</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kern w:val="2"/>
          <w:sz w:val="32"/>
          <w:szCs w:val="32"/>
          <w:lang w:val="en-US" w:eastAsia="zh-CN" w:bidi="ar-SA"/>
        </w:rPr>
        <w:t>3．</w:t>
      </w:r>
      <w:r>
        <w:rPr>
          <w:rFonts w:hint="eastAsia" w:ascii="Times New Roman" w:hAnsi="Times New Roman" w:eastAsia="仿宋_GB2312" w:cs="仿宋_GB2312"/>
          <w:b/>
          <w:bCs/>
          <w:color w:val="auto"/>
          <w:kern w:val="2"/>
          <w:sz w:val="32"/>
          <w:szCs w:val="32"/>
          <w:lang w:val="en-US" w:eastAsia="zh-CN" w:bidi="ar-SA"/>
        </w:rPr>
        <w:t>全面实行政务公开。</w:t>
      </w:r>
      <w:r>
        <w:rPr>
          <w:rFonts w:hint="eastAsia" w:ascii="Times New Roman" w:hAnsi="Times New Roman" w:eastAsia="仿宋_GB2312" w:cs="仿宋_GB2312"/>
          <w:color w:val="auto"/>
          <w:sz w:val="32"/>
          <w:szCs w:val="32"/>
        </w:rPr>
        <w:t>贯彻落实政务公开相关规定，通过线上线下全面准确公开政务服务事项、办事指南、办事流程、办事机构等信息。显著位置设置政务公开栏，公开窗口部门名称、工作职责、服务事项、服务人员、咨询电话、政务信息、工作动态、惠民政策等信息。设立监督电话、信箱、邮箱等，及时收集处理群众意见和诉求。</w:t>
      </w:r>
      <w:r>
        <w:rPr>
          <w:rFonts w:hint="eastAsia" w:ascii="Times New Roman" w:hAnsi="Times New Roman" w:eastAsia="楷体_GB2312" w:cs="楷体_GB2312"/>
          <w:b/>
          <w:color w:val="auto"/>
          <w:kern w:val="2"/>
          <w:sz w:val="32"/>
          <w:szCs w:val="32"/>
          <w:lang w:val="en-US" w:eastAsia="zh-CN" w:bidi="ar-SA"/>
        </w:rPr>
        <w:t>（责任单位：各镇人民政府）</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3" w:firstLineChars="200"/>
        <w:jc w:val="both"/>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（二）加快放权赋能，确保事项服务清晰规范</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kern w:val="2"/>
          <w:sz w:val="32"/>
          <w:szCs w:val="32"/>
          <w:lang w:val="en-US" w:eastAsia="zh-CN" w:bidi="ar-SA"/>
        </w:rPr>
        <w:t>1．</w:t>
      </w:r>
      <w:r>
        <w:rPr>
          <w:rFonts w:hint="eastAsia" w:ascii="Times New Roman" w:hAnsi="Times New Roman" w:eastAsia="仿宋_GB2312" w:cs="仿宋_GB2312"/>
          <w:b/>
          <w:bCs/>
          <w:color w:val="auto"/>
          <w:kern w:val="2"/>
          <w:sz w:val="32"/>
          <w:szCs w:val="32"/>
          <w:lang w:val="en-US" w:eastAsia="zh-CN" w:bidi="ar-SA"/>
        </w:rPr>
        <w:t>深化基层放权。</w:t>
      </w:r>
      <w:r>
        <w:rPr>
          <w:rFonts w:hint="eastAsia" w:ascii="Times New Roman" w:hAnsi="Times New Roman" w:eastAsia="仿宋_GB2312" w:cs="仿宋_GB2312"/>
          <w:color w:val="auto"/>
          <w:sz w:val="32"/>
          <w:szCs w:val="32"/>
        </w:rPr>
        <w:t>按省市要求首批下放镇级服务事项</w:t>
      </w:r>
      <w:r>
        <w:rPr>
          <w:rFonts w:hint="eastAsia" w:ascii="Times New Roman" w:hAnsi="Times New Roman" w:eastAsia="仿宋_GB2312" w:cs="仿宋_GB2312"/>
          <w:color w:val="auto"/>
          <w:sz w:val="32"/>
          <w:szCs w:val="32"/>
          <w:lang w:val="en-US" w:eastAsia="zh-CN"/>
        </w:rPr>
        <w:t>99</w:t>
      </w:r>
      <w:r>
        <w:rPr>
          <w:rFonts w:hint="eastAsia" w:ascii="Times New Roman" w:hAnsi="Times New Roman" w:eastAsia="仿宋_GB2312" w:cs="仿宋_GB2312"/>
          <w:color w:val="auto"/>
          <w:sz w:val="32"/>
          <w:szCs w:val="32"/>
        </w:rPr>
        <w:t>项（含公共服务51项、行政确认18项、行政给付</w:t>
      </w:r>
      <w:r>
        <w:rPr>
          <w:rFonts w:hint="eastAsia" w:ascii="Times New Roman" w:hAnsi="Times New Roman" w:eastAsia="仿宋_GB2312" w:cs="仿宋_GB2312"/>
          <w:color w:val="auto"/>
          <w:sz w:val="32"/>
          <w:szCs w:val="32"/>
          <w:lang w:val="en-US" w:eastAsia="zh-CN"/>
        </w:rPr>
        <w:t>22</w:t>
      </w:r>
      <w:r>
        <w:rPr>
          <w:rFonts w:hint="eastAsia" w:ascii="Times New Roman" w:hAnsi="Times New Roman" w:eastAsia="仿宋_GB2312" w:cs="仿宋_GB2312"/>
          <w:color w:val="auto"/>
          <w:sz w:val="32"/>
          <w:szCs w:val="32"/>
        </w:rPr>
        <w:t>项、其他行政权力5项、行政裁决1项、行政许可2项）、村级服务事项43项（含公共服务21项、行政确认5项、行政给付5项、行政征收1项、其他权力11项），具体内容详见附件1、附件2。开展民意调查，持续梳理下放高频便企利民服务事项，分级分类制定放权清单并动态更新，严格按程序分批次放权。组织开展专题培训，确保镇村接得住、用得好。</w:t>
      </w:r>
      <w:r>
        <w:rPr>
          <w:rFonts w:hint="eastAsia" w:ascii="Times New Roman" w:hAnsi="Times New Roman" w:eastAsia="楷体_GB2312" w:cs="楷体_GB2312"/>
          <w:b/>
          <w:color w:val="auto"/>
          <w:kern w:val="2"/>
          <w:sz w:val="32"/>
          <w:szCs w:val="32"/>
          <w:lang w:val="en-US" w:eastAsia="zh-CN" w:bidi="ar-SA"/>
        </w:rPr>
        <w:t>（责任单位：县行政审批局、县司法局、县直有关单位）</w:t>
      </w:r>
    </w:p>
    <w:p>
      <w:pPr>
        <w:keepNext w:val="0"/>
        <w:keepLines w:val="0"/>
        <w:pageBreakBefore w:val="0"/>
        <w:widowControl w:val="0"/>
        <w:shd w:val="clear"/>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sz w:val="32"/>
          <w:szCs w:val="32"/>
        </w:rPr>
        <w:t>2．</w:t>
      </w:r>
      <w:r>
        <w:rPr>
          <w:rFonts w:hint="eastAsia" w:ascii="Times New Roman" w:hAnsi="Times New Roman" w:eastAsia="仿宋_GB2312" w:cs="仿宋_GB2312"/>
          <w:b/>
          <w:bCs/>
          <w:color w:val="auto"/>
          <w:sz w:val="32"/>
          <w:szCs w:val="32"/>
        </w:rPr>
        <w:t>加快事项入驻。</w:t>
      </w:r>
      <w:r>
        <w:rPr>
          <w:rFonts w:hint="eastAsia" w:ascii="Times New Roman" w:hAnsi="Times New Roman" w:eastAsia="仿宋_GB2312" w:cs="仿宋_GB2312"/>
          <w:color w:val="auto"/>
          <w:sz w:val="32"/>
          <w:szCs w:val="32"/>
        </w:rPr>
        <w:t>对于镇村需求量大、办理频率高，但因客观原因暂不适宜下放的政务服务事项，按照“能进则进”的原则，以派驻或委托授权形式统一纳入各镇综合便民服务中心管理，2021年12月底前以县直部门人员派驻提供服务，或以签订委托授权书形式委托授权镇综合便民服务中心窗口直接办理，进一步提升基层政务服务便利度。</w:t>
      </w:r>
      <w:r>
        <w:rPr>
          <w:rFonts w:hint="eastAsia" w:ascii="Times New Roman" w:hAnsi="Times New Roman" w:eastAsia="楷体_GB2312" w:cs="楷体_GB2312"/>
          <w:b/>
          <w:color w:val="auto"/>
          <w:sz w:val="32"/>
          <w:szCs w:val="32"/>
        </w:rPr>
        <w:t>（责任单位：县行政审批局，县直有关单位）</w:t>
      </w:r>
    </w:p>
    <w:p>
      <w:pPr>
        <w:keepNext w:val="0"/>
        <w:keepLines w:val="0"/>
        <w:pageBreakBefore w:val="0"/>
        <w:widowControl w:val="0"/>
        <w:shd w:val="clear"/>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sz w:val="32"/>
          <w:szCs w:val="32"/>
        </w:rPr>
        <w:t>3．</w:t>
      </w:r>
      <w:r>
        <w:rPr>
          <w:rFonts w:hint="eastAsia" w:ascii="Times New Roman" w:hAnsi="Times New Roman" w:eastAsia="仿宋_GB2312" w:cs="仿宋_GB2312"/>
          <w:b/>
          <w:bCs/>
          <w:color w:val="auto"/>
          <w:sz w:val="32"/>
          <w:szCs w:val="32"/>
        </w:rPr>
        <w:t>完善办事指南。</w:t>
      </w:r>
      <w:r>
        <w:rPr>
          <w:rFonts w:hint="eastAsia" w:ascii="Times New Roman" w:hAnsi="Times New Roman" w:eastAsia="仿宋_GB2312" w:cs="仿宋_GB2312"/>
          <w:color w:val="auto"/>
          <w:sz w:val="32"/>
          <w:szCs w:val="32"/>
        </w:rPr>
        <w:t>全面梳理政务服务事项，规范事项办理流程、统一办理标准，压缩办理时限，进一步提升办事效率和服务质量。制定标准化办事指南，明确办理事项的名称、设定依据、办理程序、办结期限、办理流程、申报材料、申请书示范文本、收费标准、收费依据、承办人、监督方式等，在窗口显著位置进行公开，并在办理中一次性告知申请人所有办件要素。12月底前完成。</w:t>
      </w:r>
      <w:r>
        <w:rPr>
          <w:rFonts w:hint="eastAsia" w:ascii="Times New Roman" w:hAnsi="Times New Roman" w:eastAsia="楷体_GB2312" w:cs="楷体_GB2312"/>
          <w:b/>
          <w:color w:val="auto"/>
          <w:sz w:val="32"/>
          <w:szCs w:val="32"/>
        </w:rPr>
        <w:t>（责任单位：各镇人民政府，县行政审批局）</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3" w:firstLineChars="200"/>
        <w:jc w:val="both"/>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（三）推行网上办理，提升政务服务办理效率</w:t>
      </w:r>
    </w:p>
    <w:p>
      <w:pPr>
        <w:keepNext w:val="0"/>
        <w:keepLines w:val="0"/>
        <w:pageBreakBefore w:val="0"/>
        <w:widowControl w:val="0"/>
        <w:shd w:val="clear"/>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sz w:val="32"/>
          <w:szCs w:val="32"/>
        </w:rPr>
        <w:t>1．</w:t>
      </w:r>
      <w:r>
        <w:rPr>
          <w:rFonts w:hint="eastAsia" w:ascii="Times New Roman" w:hAnsi="Times New Roman" w:eastAsia="仿宋_GB2312" w:cs="仿宋_GB2312"/>
          <w:b/>
          <w:bCs/>
          <w:color w:val="auto"/>
          <w:sz w:val="32"/>
          <w:szCs w:val="32"/>
        </w:rPr>
        <w:t>推进“最多跑一次”。</w:t>
      </w:r>
      <w:r>
        <w:rPr>
          <w:rFonts w:hint="eastAsia" w:ascii="Times New Roman" w:hAnsi="Times New Roman" w:eastAsia="仿宋_GB2312" w:cs="仿宋_GB2312"/>
          <w:color w:val="auto"/>
          <w:sz w:val="32"/>
          <w:szCs w:val="32"/>
        </w:rPr>
        <w:t>按照“马上办、网上办、就近办、一次办”的要求，加快全省一体化在线政务服务平台端口延伸到镇、村（社区），实现政务服务平台全覆盖。依托山西政务服务平台、</w:t>
      </w:r>
      <w:r>
        <w:rPr>
          <w:rFonts w:hint="eastAsia" w:ascii="Times New Roman" w:hAnsi="Times New Roman" w:eastAsia="仿宋_GB2312" w:cs="仿宋_GB2312"/>
          <w:color w:val="auto"/>
          <w:sz w:val="32"/>
          <w:szCs w:val="32"/>
          <w:lang w:eastAsia="zh-CN"/>
        </w:rPr>
        <w:t>长治政务服务云受理平台、</w:t>
      </w:r>
      <w:r>
        <w:rPr>
          <w:rFonts w:hint="eastAsia" w:ascii="Times New Roman" w:hAnsi="Times New Roman" w:eastAsia="仿宋_GB2312" w:cs="仿宋_GB2312"/>
          <w:color w:val="auto"/>
          <w:sz w:val="32"/>
          <w:szCs w:val="32"/>
        </w:rPr>
        <w:t>三晋通APP等，整合系统功能、共享政务数据，推动基层政务服务事项全面入驻长治政务服务审批管理系统，统一纳入平台运行管理，重点在线上线下融合办、全域通办、移动办、无差别办上下功夫，持续推进政务服务事项受理、办理、办结等环节全流程“一网通办”“全域通办”，实现“最多跑一次”全覆盖。</w:t>
      </w:r>
      <w:r>
        <w:rPr>
          <w:rFonts w:hint="eastAsia" w:ascii="Times New Roman" w:hAnsi="Times New Roman" w:eastAsia="楷体_GB2312" w:cs="楷体_GB2312"/>
          <w:b/>
          <w:color w:val="auto"/>
          <w:sz w:val="32"/>
          <w:szCs w:val="32"/>
        </w:rPr>
        <w:t>（责任单位：县行政审批局、各镇人民政府）</w:t>
      </w:r>
    </w:p>
    <w:p>
      <w:pPr>
        <w:keepNext w:val="0"/>
        <w:keepLines w:val="0"/>
        <w:pageBreakBefore w:val="0"/>
        <w:widowControl w:val="0"/>
        <w:shd w:val="clear"/>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sz w:val="32"/>
          <w:szCs w:val="32"/>
        </w:rPr>
        <w:t>2．</w:t>
      </w:r>
      <w:r>
        <w:rPr>
          <w:rFonts w:hint="eastAsia" w:ascii="Times New Roman" w:hAnsi="Times New Roman" w:eastAsia="仿宋_GB2312" w:cs="仿宋_GB2312"/>
          <w:b/>
          <w:bCs/>
          <w:color w:val="auto"/>
          <w:sz w:val="32"/>
          <w:szCs w:val="32"/>
        </w:rPr>
        <w:t>不断创新服务方式。</w:t>
      </w:r>
      <w:r>
        <w:rPr>
          <w:rFonts w:hint="eastAsia" w:ascii="Times New Roman" w:hAnsi="Times New Roman" w:eastAsia="仿宋_GB2312" w:cs="仿宋_GB2312"/>
          <w:color w:val="auto"/>
          <w:sz w:val="32"/>
          <w:szCs w:val="32"/>
        </w:rPr>
        <w:t>镇级、村级综合便民服务</w:t>
      </w:r>
      <w:r>
        <w:rPr>
          <w:rFonts w:hint="eastAsia" w:ascii="Times New Roman" w:hAnsi="Times New Roman" w:eastAsia="仿宋_GB2312" w:cs="仿宋_GB2312"/>
          <w:color w:val="auto"/>
          <w:sz w:val="32"/>
          <w:szCs w:val="32"/>
          <w:lang w:eastAsia="zh-CN"/>
        </w:rPr>
        <w:t>机构</w:t>
      </w:r>
      <w:r>
        <w:rPr>
          <w:rFonts w:hint="eastAsia" w:ascii="Times New Roman" w:hAnsi="Times New Roman" w:eastAsia="仿宋_GB2312" w:cs="仿宋_GB2312"/>
          <w:color w:val="auto"/>
          <w:sz w:val="32"/>
          <w:szCs w:val="32"/>
        </w:rPr>
        <w:t>要充分发挥自身优势同时积极推进“网上办”“掌上办”，大胆创新便民服务方式，采取网办、代办、帮办等方式，提升服务便利度和满意度，提高网上政务服务知晓度和使用率。代办范围内所有政务服务事项，需要到镇综合便民服务中心办理的，由村（社区）代办员代办；需要到县</w:t>
      </w:r>
      <w:r>
        <w:rPr>
          <w:rFonts w:hint="eastAsia" w:ascii="Times New Roman" w:hAnsi="Times New Roman" w:eastAsia="仿宋_GB2312" w:cs="仿宋_GB2312"/>
          <w:color w:val="auto"/>
          <w:sz w:val="32"/>
          <w:szCs w:val="32"/>
          <w:lang w:eastAsia="zh-CN"/>
        </w:rPr>
        <w:t>行政审批</w:t>
      </w:r>
      <w:r>
        <w:rPr>
          <w:rFonts w:hint="eastAsia" w:ascii="Times New Roman" w:hAnsi="Times New Roman" w:eastAsia="仿宋_GB2312" w:cs="仿宋_GB2312"/>
          <w:color w:val="auto"/>
          <w:sz w:val="32"/>
          <w:szCs w:val="32"/>
        </w:rPr>
        <w:t>服务</w:t>
      </w:r>
      <w:r>
        <w:rPr>
          <w:rFonts w:hint="eastAsia" w:ascii="Times New Roman" w:hAnsi="Times New Roman" w:eastAsia="仿宋_GB2312" w:cs="仿宋_GB2312"/>
          <w:color w:val="auto"/>
          <w:sz w:val="32"/>
          <w:szCs w:val="32"/>
          <w:lang w:eastAsia="zh-CN"/>
        </w:rPr>
        <w:t>中心或县直有关部门</w:t>
      </w:r>
      <w:r>
        <w:rPr>
          <w:rFonts w:hint="eastAsia" w:ascii="Times New Roman" w:hAnsi="Times New Roman" w:eastAsia="仿宋_GB2312" w:cs="仿宋_GB2312"/>
          <w:color w:val="auto"/>
          <w:sz w:val="32"/>
          <w:szCs w:val="32"/>
        </w:rPr>
        <w:t>办理的，由镇代办员代办</w:t>
      </w:r>
      <w:r>
        <w:rPr>
          <w:rFonts w:hint="eastAsia" w:ascii="Times New Roman" w:hAnsi="Times New Roman" w:eastAsia="仿宋_GB2312" w:cs="仿宋_GB2312"/>
          <w:color w:val="auto"/>
          <w:sz w:val="32"/>
          <w:szCs w:val="32"/>
          <w:lang w:eastAsia="zh-CN"/>
        </w:rPr>
        <w:t>。县政务服务中心</w:t>
      </w:r>
      <w:r>
        <w:rPr>
          <w:rFonts w:hint="eastAsia" w:ascii="Times New Roman" w:hAnsi="Times New Roman" w:eastAsia="仿宋_GB2312" w:cs="仿宋_GB2312"/>
          <w:color w:val="auto"/>
          <w:sz w:val="32"/>
          <w:szCs w:val="32"/>
        </w:rPr>
        <w:t>负责各镇综合</w:t>
      </w:r>
      <w:r>
        <w:rPr>
          <w:rFonts w:hint="eastAsia" w:ascii="Times New Roman" w:hAnsi="Times New Roman" w:eastAsia="仿宋_GB2312" w:cs="仿宋_GB2312"/>
          <w:color w:val="auto"/>
          <w:sz w:val="32"/>
          <w:szCs w:val="32"/>
          <w:lang w:eastAsia="zh-CN"/>
        </w:rPr>
        <w:t>便民</w:t>
      </w:r>
      <w:r>
        <w:rPr>
          <w:rFonts w:hint="eastAsia" w:ascii="Times New Roman" w:hAnsi="Times New Roman" w:eastAsia="仿宋_GB2312" w:cs="仿宋_GB2312"/>
          <w:color w:val="auto"/>
          <w:sz w:val="32"/>
          <w:szCs w:val="32"/>
        </w:rPr>
        <w:t>服务中心待办事项的督办、反馈、跟踪回访。通过设置自助服务终端，实现高频事项24小时自助申办、自助取件。积极开展“政银”“政企”合作，借助银行网点、大型商超等网点多、人员足、服务好的优势，实现政务服务“多点办”。推出办件邮寄服务，减少企业群众跑路次数。</w:t>
      </w:r>
      <w:r>
        <w:rPr>
          <w:rFonts w:hint="eastAsia" w:ascii="Times New Roman" w:hAnsi="Times New Roman" w:eastAsia="楷体_GB2312" w:cs="楷体_GB2312"/>
          <w:b/>
          <w:color w:val="auto"/>
          <w:sz w:val="32"/>
          <w:szCs w:val="32"/>
        </w:rPr>
        <w:t>（责任单位：各镇人民政府）</w:t>
      </w:r>
    </w:p>
    <w:p>
      <w:pPr>
        <w:keepNext w:val="0"/>
        <w:keepLines w:val="0"/>
        <w:pageBreakBefore w:val="0"/>
        <w:widowControl w:val="0"/>
        <w:shd w:val="clear"/>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sz w:val="32"/>
          <w:szCs w:val="32"/>
        </w:rPr>
        <w:t>3．</w:t>
      </w:r>
      <w:r>
        <w:rPr>
          <w:rFonts w:hint="eastAsia" w:ascii="Times New Roman" w:hAnsi="Times New Roman" w:eastAsia="仿宋_GB2312" w:cs="仿宋_GB2312"/>
          <w:b/>
          <w:bCs/>
          <w:color w:val="auto"/>
          <w:sz w:val="32"/>
          <w:szCs w:val="32"/>
        </w:rPr>
        <w:t>政务服务“好差评”全覆盖。</w:t>
      </w:r>
      <w:r>
        <w:rPr>
          <w:rFonts w:hint="eastAsia" w:ascii="Times New Roman" w:hAnsi="Times New Roman" w:eastAsia="仿宋_GB2312" w:cs="仿宋_GB2312"/>
          <w:color w:val="auto"/>
          <w:sz w:val="32"/>
          <w:szCs w:val="32"/>
        </w:rPr>
        <w:t>在镇综合便民服务中心、村（社区）便民服务点的服务窗口醒目位置设置线下评价器或线上评价二维码，方便人民群众参与政务服务评价。在基层平台发布的所有政务事项和相关服务要全部纳入“好差评”评价范围，实现政务服务“好差评”服务事项、评价对象、服务渠道全覆盖。“好差评”实行闭环管理，“好差评”联动反馈、“差评”核实整改、整改回访做到三个“百分百”。</w:t>
      </w:r>
      <w:r>
        <w:rPr>
          <w:rFonts w:hint="eastAsia" w:ascii="Times New Roman" w:hAnsi="Times New Roman" w:eastAsia="楷体_GB2312" w:cs="楷体_GB2312"/>
          <w:b/>
          <w:color w:val="auto"/>
          <w:sz w:val="32"/>
          <w:szCs w:val="32"/>
        </w:rPr>
        <w:t>（责任单位：各镇人民政府、县行政审批局）</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三、保障措施</w:t>
      </w:r>
    </w:p>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3"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_GB2312" w:cs="楷体_GB2312"/>
          <w:b/>
          <w:bCs/>
          <w:color w:val="auto"/>
          <w:sz w:val="32"/>
          <w:szCs w:val="32"/>
        </w:rPr>
        <w:t>（一）加强组织领导。</w:t>
      </w:r>
      <w:r>
        <w:rPr>
          <w:rFonts w:hint="eastAsia" w:ascii="Times New Roman" w:hAnsi="Times New Roman" w:eastAsia="仿宋_GB2312" w:cs="仿宋_GB2312"/>
          <w:color w:val="auto"/>
          <w:kern w:val="2"/>
          <w:sz w:val="32"/>
          <w:szCs w:val="32"/>
        </w:rPr>
        <w:t>推进政务服务向镇村延伸，加快构建五级政务服务体系，是建设人民满意的服务型政府、推进基层治理体系和治理能力现代化的内在要求，各镇人民政府、各有关单位要高度重视，提高思想意识，加强组织领导，</w:t>
      </w:r>
      <w:r>
        <w:rPr>
          <w:rFonts w:hint="eastAsia" w:ascii="Times New Roman" w:hAnsi="Times New Roman" w:eastAsia="仿宋_GB2312" w:cs="仿宋_GB2312"/>
          <w:color w:val="auto"/>
          <w:sz w:val="32"/>
          <w:szCs w:val="32"/>
        </w:rPr>
        <w:t>结合实际，制定详细工作方案，细化任务分工，指定专人负责，明确工作任务和完成时限，保障各项工作任务尽快落地见效。</w:t>
      </w:r>
    </w:p>
    <w:p>
      <w:pPr>
        <w:pStyle w:val="12"/>
        <w:keepNext w:val="0"/>
        <w:keepLines w:val="0"/>
        <w:pageBreakBefore w:val="0"/>
        <w:widowControl w:val="0"/>
        <w:shd w:val="clear"/>
        <w:kinsoku/>
        <w:wordWrap/>
        <w:overflowPunct w:val="0"/>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楷体_GB2312" w:cs="楷体_GB2312"/>
          <w:b/>
          <w:bCs/>
          <w:color w:val="auto"/>
          <w:kern w:val="0"/>
          <w:sz w:val="32"/>
          <w:szCs w:val="32"/>
          <w:lang w:val="en-US" w:eastAsia="zh-CN" w:bidi="ar-SA"/>
        </w:rPr>
        <w:t>（二）强化业务培训。</w:t>
      </w:r>
      <w:r>
        <w:rPr>
          <w:rFonts w:hint="eastAsia" w:ascii="Times New Roman" w:hAnsi="Times New Roman" w:eastAsia="仿宋_GB2312" w:cs="仿宋_GB2312"/>
          <w:color w:val="auto"/>
          <w:sz w:val="32"/>
          <w:szCs w:val="32"/>
          <w:lang w:eastAsia="zh-CN"/>
        </w:rPr>
        <w:t>县行政审批局要加强各镇综合便民服务中心指导，推进全县政务服务标准化、规范化、便利化并向镇村和线上延伸，牵头做好一体化在线政务服务平台或审批服务专网的接入。</w:t>
      </w:r>
      <w:r>
        <w:rPr>
          <w:rFonts w:hint="eastAsia" w:ascii="Times New Roman" w:hAnsi="Times New Roman" w:eastAsia="仿宋_GB2312" w:cs="仿宋_GB2312"/>
          <w:color w:val="auto"/>
          <w:sz w:val="32"/>
          <w:szCs w:val="32"/>
          <w:lang w:val="en-US" w:eastAsia="zh-CN"/>
        </w:rPr>
        <w:t>12月中旬前，</w:t>
      </w:r>
      <w:r>
        <w:rPr>
          <w:rFonts w:hint="eastAsia" w:ascii="Times New Roman" w:hAnsi="Times New Roman" w:eastAsia="仿宋_GB2312" w:cs="仿宋_GB2312"/>
          <w:color w:val="auto"/>
          <w:sz w:val="32"/>
          <w:szCs w:val="32"/>
        </w:rPr>
        <w:t>县行政审批局</w:t>
      </w:r>
      <w:r>
        <w:rPr>
          <w:rFonts w:hint="eastAsia" w:ascii="Times New Roman" w:hAnsi="Times New Roman" w:eastAsia="仿宋_GB2312" w:cs="仿宋_GB2312"/>
          <w:color w:val="auto"/>
          <w:sz w:val="32"/>
          <w:szCs w:val="32"/>
          <w:lang w:eastAsia="zh-CN"/>
        </w:rPr>
        <w:t>、各有关单位结合实际组织开展业务培训；持续加强业务指导和培训力度，加大对工作推进情况的督查。</w:t>
      </w:r>
      <w:bookmarkStart w:id="0" w:name="bookmark23"/>
    </w:p>
    <w:bookmarkEnd w:id="0"/>
    <w:p>
      <w:pPr>
        <w:pStyle w:val="7"/>
        <w:keepNext w:val="0"/>
        <w:keepLines w:val="0"/>
        <w:pageBreakBefore w:val="0"/>
        <w:widowControl w:val="0"/>
        <w:shd w:val="clear"/>
        <w:kinsoku/>
        <w:wordWrap/>
        <w:overflowPunct w:val="0"/>
        <w:topLinePunct w:val="0"/>
        <w:autoSpaceDE/>
        <w:autoSpaceDN/>
        <w:bidi w:val="0"/>
        <w:adjustRightInd/>
        <w:snapToGrid/>
        <w:spacing w:beforeAutospacing="0" w:afterAutospacing="0" w:line="576" w:lineRule="exact"/>
        <w:ind w:firstLine="643"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_GB2312" w:cs="楷体_GB2312"/>
          <w:b/>
          <w:bCs/>
          <w:color w:val="auto"/>
          <w:sz w:val="32"/>
          <w:szCs w:val="32"/>
        </w:rPr>
        <w:t>（三）开展监督考核。</w:t>
      </w:r>
      <w:r>
        <w:rPr>
          <w:rFonts w:hint="eastAsia" w:ascii="Times New Roman" w:hAnsi="Times New Roman" w:eastAsia="仿宋_GB2312" w:cs="仿宋_GB2312"/>
          <w:color w:val="auto"/>
          <w:sz w:val="32"/>
          <w:szCs w:val="32"/>
        </w:rPr>
        <w:t>把政务服务向基层延伸工作列入年终目标任务考核和重点督查事项，定期通报工作进展和成效。县行政审批局负责定期督促检查和跟踪评估，确保便民服务机构建设高效推进、有序开展。各镇要高度重视标准化规范化建设工作，并将村（社区）便民服务点建设工作列入重要议事日程，精心谋划、设定时限、全力推进。</w:t>
      </w:r>
    </w:p>
    <w:p>
      <w:pPr>
        <w:pStyle w:val="8"/>
        <w:shd w:val="clear"/>
        <w:overflowPunct w:val="0"/>
        <w:spacing w:line="576" w:lineRule="exact"/>
        <w:ind w:left="0" w:leftChars="0" w:firstLine="640"/>
        <w:rPr>
          <w:rFonts w:hint="eastAsia" w:ascii="Times New Roman" w:hAnsi="Times New Roman" w:eastAsia="仿宋_GB2312" w:cs="仿宋_GB2312"/>
          <w:color w:val="auto"/>
          <w:kern w:val="0"/>
          <w:sz w:val="32"/>
          <w:szCs w:val="32"/>
        </w:rPr>
      </w:pPr>
    </w:p>
    <w:p>
      <w:pPr>
        <w:pStyle w:val="8"/>
        <w:shd w:val="clear"/>
        <w:overflowPunct w:val="0"/>
        <w:spacing w:line="576" w:lineRule="exact"/>
        <w:ind w:left="0" w:leftChars="0" w:firstLine="64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附件1．襄垣县镇级政务服务事项赋权清单（第一批）</w:t>
      </w:r>
    </w:p>
    <w:p>
      <w:pPr>
        <w:pStyle w:val="9"/>
        <w:shd w:val="clear"/>
        <w:overflowPunct w:val="0"/>
        <w:autoSpaceDE/>
        <w:autoSpaceDN/>
        <w:spacing w:line="576" w:lineRule="exact"/>
        <w:ind w:firstLine="732" w:firstLineChars="22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2．襄垣县村级政务服务事项赋权清单（第一批）</w:t>
      </w: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spacing w:line="560" w:lineRule="exact"/>
        <w:rPr>
          <w:rFonts w:ascii="Times New Roman" w:hAnsi="Times New Roman" w:eastAsia="仿宋_GB2312"/>
          <w:color w:val="auto"/>
        </w:rPr>
      </w:pPr>
    </w:p>
    <w:p>
      <w:pPr>
        <w:shd w:val="clear"/>
        <w:rPr>
          <w:rFonts w:ascii="Times New Roman" w:hAnsi="Times New Roman" w:eastAsia="仿宋_GB2312"/>
          <w:color w:val="auto"/>
          <w:sz w:val="32"/>
          <w:szCs w:val="32"/>
        </w:rPr>
      </w:pPr>
      <w:r>
        <w:rPr>
          <w:rFonts w:hint="eastAsia" w:ascii="Times New Roman" w:hAnsi="Times New Roman" w:eastAsia="黑体" w:cs="黑体"/>
          <w:color w:val="auto"/>
          <w:sz w:val="32"/>
          <w:szCs w:val="32"/>
        </w:rPr>
        <w:t>附件</w:t>
      </w:r>
      <w:r>
        <w:rPr>
          <w:rFonts w:hint="eastAsia" w:ascii="Times New Roman" w:hAnsi="Times New Roman" w:eastAsia="仿宋_GB2312"/>
          <w:color w:val="auto"/>
          <w:sz w:val="32"/>
          <w:szCs w:val="32"/>
        </w:rPr>
        <w:t>1</w:t>
      </w:r>
    </w:p>
    <w:p>
      <w:pPr>
        <w:pStyle w:val="8"/>
        <w:shd w:val="clear"/>
        <w:rPr>
          <w:rFonts w:ascii="Times New Roman" w:hAnsi="Times New Roman"/>
          <w:color w:val="auto"/>
        </w:rPr>
      </w:pPr>
    </w:p>
    <w:tbl>
      <w:tblPr>
        <w:tblStyle w:val="10"/>
        <w:tblW w:w="8821" w:type="dxa"/>
        <w:jc w:val="center"/>
        <w:shd w:val="clear" w:color="auto" w:fill="auto"/>
        <w:tblLayout w:type="fixed"/>
        <w:tblCellMar>
          <w:top w:w="0" w:type="dxa"/>
          <w:left w:w="108" w:type="dxa"/>
          <w:bottom w:w="0" w:type="dxa"/>
          <w:right w:w="108" w:type="dxa"/>
        </w:tblCellMar>
      </w:tblPr>
      <w:tblGrid>
        <w:gridCol w:w="665"/>
        <w:gridCol w:w="3364"/>
        <w:gridCol w:w="1364"/>
        <w:gridCol w:w="2228"/>
        <w:gridCol w:w="1200"/>
      </w:tblGrid>
      <w:tr>
        <w:tblPrEx>
          <w:shd w:val="clear" w:color="auto" w:fill="auto"/>
          <w:tblCellMar>
            <w:top w:w="0" w:type="dxa"/>
            <w:left w:w="108" w:type="dxa"/>
            <w:bottom w:w="0" w:type="dxa"/>
            <w:right w:w="108" w:type="dxa"/>
          </w:tblCellMar>
        </w:tblPrEx>
        <w:trPr>
          <w:trHeight w:val="720" w:hRule="exact"/>
          <w:tblHeader/>
          <w:jc w:val="center"/>
        </w:trPr>
        <w:tc>
          <w:tcPr>
            <w:tcW w:w="8821" w:type="dxa"/>
            <w:gridSpan w:val="5"/>
            <w:tcBorders>
              <w:top w:val="nil"/>
              <w:left w:val="nil"/>
              <w:bottom w:val="single" w:color="auto" w:sz="8" w:space="0"/>
              <w:right w:val="nil"/>
            </w:tcBorders>
            <w:shd w:val="clear" w:color="auto" w:fill="auto"/>
            <w:vAlign w:val="center"/>
          </w:tcPr>
          <w:p>
            <w:pPr>
              <w:shd w:val="clear"/>
              <w:spacing w:line="576" w:lineRule="exact"/>
              <w:ind w:firstLine="261"/>
              <w:jc w:val="center"/>
              <w:rPr>
                <w:rFonts w:hint="eastAsia" w:ascii="Times New Roman" w:hAnsi="Times New Roman" w:eastAsia="方正小标宋_GBK" w:cs="方正小标宋_GBK"/>
                <w:color w:val="auto"/>
                <w:spacing w:val="-11"/>
                <w:sz w:val="44"/>
                <w:szCs w:val="44"/>
                <w:lang w:val="zh-TW" w:eastAsia="zh-TW" w:bidi="zh-TW"/>
              </w:rPr>
            </w:pPr>
            <w:r>
              <w:rPr>
                <w:rFonts w:hint="eastAsia" w:ascii="Times New Roman" w:hAnsi="Times New Roman" w:eastAsia="方正小标宋_GBK" w:cs="方正小标宋_GBK"/>
                <w:color w:val="auto"/>
                <w:spacing w:val="-11"/>
                <w:sz w:val="44"/>
                <w:szCs w:val="44"/>
                <w:lang w:val="zh-TW" w:eastAsia="zh-TW" w:bidi="zh-TW"/>
              </w:rPr>
              <w:t>襄垣县镇级政务服务事项赋权清单（第一批）</w:t>
            </w:r>
          </w:p>
          <w:p>
            <w:pPr>
              <w:shd w:val="clear"/>
              <w:jc w:val="center"/>
              <w:rPr>
                <w:rFonts w:hint="eastAsia" w:ascii="Times New Roman" w:hAnsi="Times New Roman" w:eastAsia="方正小标宋_GBK" w:cs="方正小标宋_GBK"/>
                <w:color w:val="auto"/>
                <w:szCs w:val="21"/>
                <w:lang w:val="zh-TW" w:eastAsia="zh-TW" w:bidi="zh-TW"/>
              </w:rPr>
            </w:pPr>
          </w:p>
        </w:tc>
      </w:tr>
      <w:tr>
        <w:tblPrEx>
          <w:shd w:val="clear" w:color="auto" w:fill="auto"/>
          <w:tblCellMar>
            <w:top w:w="0" w:type="dxa"/>
            <w:left w:w="108" w:type="dxa"/>
            <w:bottom w:w="0" w:type="dxa"/>
            <w:right w:w="108" w:type="dxa"/>
          </w:tblCellMar>
        </w:tblPrEx>
        <w:trPr>
          <w:trHeight w:val="397" w:hRule="exact"/>
          <w:tblHeader/>
          <w:jc w:val="center"/>
        </w:trPr>
        <w:tc>
          <w:tcPr>
            <w:tcW w:w="665" w:type="dxa"/>
            <w:tcBorders>
              <w:top w:val="single" w:color="auto" w:sz="8" w:space="0"/>
              <w:left w:val="single" w:color="auto" w:sz="8"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黑体" w:cs="黑体"/>
                <w:color w:val="auto"/>
                <w:szCs w:val="21"/>
                <w:lang w:val="zh-TW" w:eastAsia="zh-TW" w:bidi="zh-TW"/>
              </w:rPr>
            </w:pPr>
            <w:r>
              <w:rPr>
                <w:rFonts w:hint="eastAsia" w:ascii="Times New Roman" w:hAnsi="Times New Roman" w:eastAsia="黑体" w:cs="黑体"/>
                <w:color w:val="auto"/>
                <w:szCs w:val="21"/>
                <w:lang w:val="zh-TW" w:eastAsia="zh-TW" w:bidi="zh-TW"/>
              </w:rPr>
              <w:t>序号</w:t>
            </w:r>
          </w:p>
        </w:tc>
        <w:tc>
          <w:tcPr>
            <w:tcW w:w="3364" w:type="dxa"/>
            <w:tcBorders>
              <w:top w:val="single" w:color="auto" w:sz="8"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黑体" w:cs="黑体"/>
                <w:color w:val="auto"/>
                <w:szCs w:val="21"/>
                <w:lang w:val="zh-TW" w:eastAsia="zh-TW" w:bidi="zh-TW"/>
              </w:rPr>
            </w:pPr>
            <w:r>
              <w:rPr>
                <w:rFonts w:hint="eastAsia" w:ascii="Times New Roman" w:hAnsi="Times New Roman" w:eastAsia="黑体" w:cs="黑体"/>
                <w:color w:val="auto"/>
                <w:szCs w:val="21"/>
                <w:lang w:val="zh-TW" w:eastAsia="zh-TW" w:bidi="zh-TW"/>
              </w:rPr>
              <w:t>事项名称</w:t>
            </w:r>
          </w:p>
        </w:tc>
        <w:tc>
          <w:tcPr>
            <w:tcW w:w="1364" w:type="dxa"/>
            <w:tcBorders>
              <w:top w:val="single" w:color="auto" w:sz="8"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黑体" w:cs="黑体"/>
                <w:color w:val="auto"/>
                <w:szCs w:val="21"/>
                <w:lang w:val="zh-TW" w:eastAsia="zh-TW" w:bidi="zh-TW"/>
              </w:rPr>
            </w:pPr>
            <w:r>
              <w:rPr>
                <w:rFonts w:hint="eastAsia" w:ascii="Times New Roman" w:hAnsi="Times New Roman" w:eastAsia="黑体" w:cs="黑体"/>
                <w:color w:val="auto"/>
                <w:szCs w:val="21"/>
                <w:lang w:val="zh-TW" w:eastAsia="zh-TW" w:bidi="zh-TW"/>
              </w:rPr>
              <w:t>事项类型</w:t>
            </w:r>
          </w:p>
        </w:tc>
        <w:tc>
          <w:tcPr>
            <w:tcW w:w="2228" w:type="dxa"/>
            <w:tcBorders>
              <w:top w:val="single" w:color="auto" w:sz="8"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黑体" w:cs="黑体"/>
                <w:color w:val="auto"/>
                <w:kern w:val="2"/>
                <w:sz w:val="21"/>
                <w:szCs w:val="21"/>
                <w:lang w:val="zh-TW" w:eastAsia="zh-TW" w:bidi="zh-TW"/>
              </w:rPr>
            </w:pPr>
            <w:r>
              <w:rPr>
                <w:rFonts w:hint="eastAsia" w:ascii="Times New Roman" w:hAnsi="Times New Roman" w:eastAsia="黑体" w:cs="黑体"/>
                <w:color w:val="auto"/>
                <w:szCs w:val="21"/>
                <w:lang w:val="zh-TW" w:eastAsia="zh-CN" w:bidi="zh-TW"/>
              </w:rPr>
              <w:t>办理方式</w:t>
            </w:r>
          </w:p>
        </w:tc>
        <w:tc>
          <w:tcPr>
            <w:tcW w:w="1200" w:type="dxa"/>
            <w:tcBorders>
              <w:top w:val="single" w:color="auto" w:sz="8" w:space="0"/>
              <w:left w:val="single" w:color="auto" w:sz="4" w:space="0"/>
              <w:bottom w:val="single" w:color="auto" w:sz="4" w:space="0"/>
              <w:right w:val="single" w:color="auto" w:sz="8" w:space="0"/>
            </w:tcBorders>
            <w:shd w:val="clear" w:color="auto" w:fill="auto"/>
            <w:vAlign w:val="center"/>
          </w:tcPr>
          <w:p>
            <w:pPr>
              <w:shd w:val="clear"/>
              <w:jc w:val="center"/>
              <w:rPr>
                <w:rFonts w:hint="eastAsia" w:ascii="Times New Roman" w:hAnsi="Times New Roman" w:eastAsia="黑体" w:cs="黑体"/>
                <w:color w:val="auto"/>
                <w:szCs w:val="21"/>
                <w:lang w:val="zh-TW" w:eastAsia="zh-CN" w:bidi="zh-TW"/>
              </w:rPr>
            </w:pPr>
            <w:r>
              <w:rPr>
                <w:rFonts w:hint="eastAsia" w:ascii="Times New Roman" w:hAnsi="Times New Roman" w:eastAsia="黑体" w:cs="黑体"/>
                <w:color w:val="auto"/>
                <w:szCs w:val="21"/>
                <w:lang w:val="zh-TW" w:eastAsia="zh-CN" w:bidi="zh-TW"/>
              </w:rPr>
              <w:t>备注</w:t>
            </w: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老年人高龄补贴发放</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临时救助</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级负责受理、审核</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对孤儿基本生活保障金的给付</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415"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最低生活保障申请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级负责受理、审核</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433"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农村五保申请初审并转报</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级负责受理、初审</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特困人员救助供养</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级负责受理、初审</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内地居民结婚登记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内地居民离婚登记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婚姻生育情况证明</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临时救助</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6"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流动人口婚育证明（流出）</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流动人口生育服务登记证明</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农村五保对象入住敬老院批准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城乡低保户信息核查</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城乡低收入家庭认定</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村民自治章程、村规民约备案</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残疾人辅助器具申报</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重度残疾人护理补贴</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471"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19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困难残疾人生活补贴</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20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法律援助咨询服务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5"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21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人民调解服务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39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bidi="zh-TW"/>
              </w:rPr>
            </w:pPr>
            <w:r>
              <w:rPr>
                <w:rFonts w:ascii="Times New Roman" w:hAnsi="Times New Roman" w:eastAsia="Times New Roman" w:cs="Times New Roman"/>
                <w:color w:val="auto"/>
                <w:sz w:val="20"/>
                <w:szCs w:val="20"/>
                <w:lang w:val="zh-TW" w:eastAsia="zh-TW" w:bidi="zh-TW"/>
              </w:rPr>
              <w:t>2</w:t>
            </w:r>
            <w:r>
              <w:rPr>
                <w:rFonts w:hint="eastAsia" w:ascii="Times New Roman" w:hAnsi="Times New Roman" w:eastAsia="仿宋_GB2312" w:cs="Times New Roman"/>
                <w:color w:val="auto"/>
                <w:sz w:val="20"/>
                <w:szCs w:val="20"/>
                <w:lang w:bidi="zh-TW"/>
              </w:rPr>
              <w:t>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就业政策法规咨询</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68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bidi="zh-TW"/>
              </w:rPr>
            </w:pPr>
            <w:r>
              <w:rPr>
                <w:rFonts w:ascii="Times New Roman" w:hAnsi="Times New Roman" w:eastAsia="Times New Roman" w:cs="Times New Roman"/>
                <w:color w:val="auto"/>
                <w:sz w:val="20"/>
                <w:szCs w:val="20"/>
                <w:lang w:val="zh-TW" w:eastAsia="zh-TW" w:bidi="zh-TW"/>
              </w:rPr>
              <w:t>2</w:t>
            </w:r>
            <w:r>
              <w:rPr>
                <w:rFonts w:hint="eastAsia" w:ascii="Times New Roman" w:hAnsi="Times New Roman" w:eastAsia="仿宋_GB2312" w:cs="Times New Roman"/>
                <w:color w:val="auto"/>
                <w:sz w:val="20"/>
                <w:szCs w:val="20"/>
                <w:lang w:bidi="zh-TW"/>
              </w:rPr>
              <w:t>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职业供求信息、市场工资指导价位信息和职业培训信息发布</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32"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bidi="zh-TW"/>
              </w:rPr>
            </w:pPr>
            <w:r>
              <w:rPr>
                <w:rFonts w:ascii="Times New Roman" w:hAnsi="Times New Roman" w:eastAsia="Times New Roman" w:cs="Times New Roman"/>
                <w:color w:val="auto"/>
                <w:sz w:val="20"/>
                <w:szCs w:val="20"/>
                <w:lang w:val="zh-TW" w:eastAsia="zh-TW" w:bidi="zh-TW"/>
              </w:rPr>
              <w:t>2</w:t>
            </w:r>
            <w:r>
              <w:rPr>
                <w:rFonts w:hint="eastAsia" w:ascii="Times New Roman" w:hAnsi="Times New Roman" w:eastAsia="仿宋_GB2312" w:cs="Times New Roman"/>
                <w:color w:val="auto"/>
                <w:sz w:val="20"/>
                <w:szCs w:val="20"/>
                <w:lang w:bidi="zh-TW"/>
              </w:rPr>
              <w:t>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就业援助</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zh-TW"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45"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25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职业介绍</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45"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26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职业指导</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27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创业开业指导</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28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就业登记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8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29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失业登记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8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30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求职登记服务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Times New Roman" w:cs="Times New Roman"/>
                <w:color w:val="auto"/>
                <w:sz w:val="20"/>
                <w:szCs w:val="20"/>
                <w:lang w:val="zh-TW" w:eastAsia="zh-TW" w:bidi="zh-TW"/>
              </w:rPr>
              <w:t>3</w:t>
            </w:r>
            <w:r>
              <w:rPr>
                <w:rFonts w:hint="eastAsia" w:ascii="Times New Roman" w:hAnsi="Times New Roman" w:eastAsia="仿宋_GB2312" w:cs="Times New Roman"/>
                <w:color w:val="auto"/>
                <w:sz w:val="20"/>
                <w:szCs w:val="20"/>
                <w:lang w:bidi="zh-TW"/>
              </w:rPr>
              <w:t>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社保政策咨询服务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8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32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企业退休人员社会化管理服务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33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城乡居民基本养老保险参保登记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8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79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34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仿宋_GB2312"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城乡居民基本养老保险变更登记</w:t>
            </w:r>
          </w:p>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pacing w:val="-11"/>
                <w:sz w:val="20"/>
                <w:szCs w:val="20"/>
                <w:lang w:val="zh-TW" w:eastAsia="zh-TW" w:bidi="zh-TW"/>
              </w:rPr>
              <w:t>（性别、民族、居住地址、联系电话变更）</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68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35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城乡居民基本养老保险变更登记</w:t>
            </w:r>
            <w:r>
              <w:rPr>
                <w:rFonts w:ascii="Times New Roman" w:hAnsi="Times New Roman" w:eastAsia="仿宋_GB2312" w:cs="宋体"/>
                <w:color w:val="auto"/>
                <w:spacing w:val="-11"/>
                <w:sz w:val="20"/>
                <w:szCs w:val="20"/>
                <w:lang w:val="zh-TW" w:eastAsia="zh-TW" w:bidi="zh-TW"/>
              </w:rPr>
              <w:t>（姓名、出生日期、有效身份证件号码变更）</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36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城乡</w:t>
            </w:r>
            <w:r>
              <w:rPr>
                <w:rFonts w:ascii="Times New Roman" w:hAnsi="Times New Roman" w:eastAsia="仿宋_GB2312" w:cs="宋体"/>
                <w:color w:val="auto"/>
                <w:sz w:val="20"/>
                <w:szCs w:val="20"/>
                <w:lang w:val="zh-TW" w:eastAsia="zh-TW" w:bidi="zh-TW"/>
              </w:rPr>
              <w:t>居民基本养老保险费补缴申报</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599"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37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城乡居民基本养老保险关系转移申请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531"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38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城乡居民基本养老保险关系衔接申请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39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城乡居民基本养老保险待遇申领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547"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40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城乡居民基本养老保险人员参保终止</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41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离退休人员领取养老金资格认证</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42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城乡居民基本养老保险资格认证</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545"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43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城乡居民基本养老保险账户封存申请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54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44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城乡居民基本养老保险关系恢复申请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100"/>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45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城乡居民社会养老保险信息查询</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46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吸纳贫困劳动力就业奖补申领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21"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47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就业困难人员认定</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48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征地安置补助费发放</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68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49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耕地、林地、草原等土地承包经营权登记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63"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业主委员会备案</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80"/>
              <w:jc w:val="center"/>
              <w:rPr>
                <w:rFonts w:ascii="Times New Roman" w:hAnsi="Times New Roman" w:eastAsia="宋体" w:cs="宋体"/>
                <w:color w:val="auto"/>
                <w:spacing w:val="-6"/>
                <w:sz w:val="20"/>
                <w:szCs w:val="20"/>
                <w:lang w:val="zh-TW" w:eastAsia="zh-TW" w:bidi="zh-TW"/>
              </w:rPr>
            </w:pPr>
            <w:r>
              <w:rPr>
                <w:rFonts w:ascii="Times New Roman" w:hAnsi="Times New Roman" w:eastAsia="仿宋_GB2312" w:cs="宋体"/>
                <w:color w:val="auto"/>
                <w:spacing w:val="-6"/>
                <w:sz w:val="20"/>
                <w:szCs w:val="20"/>
                <w:lang w:val="zh-TW" w:eastAsia="zh-TW" w:bidi="zh-TW"/>
              </w:rPr>
              <w:t>其他行政权力</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住房租赁补贴申领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农村危房改造申请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before="80"/>
              <w:jc w:val="center"/>
              <w:rPr>
                <w:rFonts w:ascii="Times New Roman" w:hAnsi="Times New Roman" w:eastAsia="宋体" w:cs="宋体"/>
                <w:color w:val="auto"/>
                <w:spacing w:val="-6"/>
                <w:sz w:val="20"/>
                <w:szCs w:val="20"/>
                <w:lang w:val="zh-TW" w:eastAsia="zh-TW" w:bidi="zh-TW"/>
              </w:rPr>
            </w:pPr>
            <w:r>
              <w:rPr>
                <w:rFonts w:ascii="Times New Roman" w:hAnsi="Times New Roman" w:eastAsia="仿宋_GB2312" w:cs="宋体"/>
                <w:color w:val="auto"/>
                <w:spacing w:val="-6"/>
                <w:sz w:val="20"/>
                <w:szCs w:val="20"/>
                <w:lang w:val="zh-TW" w:eastAsia="zh-TW" w:bidi="zh-TW"/>
              </w:rPr>
              <w:t>其他行政权力</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9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已登记公布的蓄滞洪区内居民的承包土地、住房或者其他财产发生变更核实登记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68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蓄滞洪区内居民补偿金确定与补偿凭证发放</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村民一事一议筹资筹劳方案审核</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级负责受理、初审</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农村土地承包经营权流转合同备案</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农户煤改电、煤改气申请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农户改厕申请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59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农村土地承包经营权颁证审核</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60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畜禽养殖登记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61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农业技术推广培训服务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bidi="zh-TW"/>
              </w:rPr>
              <w:t>62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群众购买毒性中药证明出具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6</w:t>
            </w:r>
            <w:r>
              <w:rPr>
                <w:rFonts w:ascii="Times New Roman" w:hAnsi="Times New Roman" w:eastAsia="Times New Roman" w:cs="Times New Roman"/>
                <w:color w:val="auto"/>
                <w:sz w:val="20"/>
                <w:szCs w:val="20"/>
                <w:lang w:val="zh-TW" w:eastAsia="zh-TW" w:bidi="zh-TW"/>
              </w:rPr>
              <w:t>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收养人生育情况证明出具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6</w:t>
            </w:r>
            <w:r>
              <w:rPr>
                <w:rFonts w:ascii="Times New Roman" w:hAnsi="Times New Roman" w:eastAsia="Times New Roman" w:cs="Times New Roman"/>
                <w:color w:val="auto"/>
                <w:sz w:val="20"/>
                <w:szCs w:val="20"/>
                <w:lang w:val="zh-TW" w:eastAsia="zh-TW" w:bidi="zh-TW"/>
              </w:rPr>
              <w:t>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再生育涉及病残儿医学鉴定</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6</w:t>
            </w:r>
            <w:r>
              <w:rPr>
                <w:rFonts w:ascii="Times New Roman" w:hAnsi="Times New Roman" w:eastAsia="Times New Roman" w:cs="Times New Roman"/>
                <w:color w:val="auto"/>
                <w:sz w:val="20"/>
                <w:szCs w:val="20"/>
                <w:lang w:val="zh-TW" w:eastAsia="zh-TW" w:bidi="zh-TW"/>
              </w:rPr>
              <w:t>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执业医师申请个体行医审批</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pacing w:val="-6"/>
                <w:sz w:val="20"/>
                <w:szCs w:val="20"/>
                <w:lang w:val="zh-TW" w:eastAsia="zh-TW" w:bidi="zh-TW"/>
              </w:rPr>
            </w:pPr>
            <w:r>
              <w:rPr>
                <w:rFonts w:ascii="Times New Roman" w:hAnsi="Times New Roman" w:eastAsia="仿宋_GB2312" w:cs="宋体"/>
                <w:color w:val="auto"/>
                <w:spacing w:val="-6"/>
                <w:sz w:val="20"/>
                <w:szCs w:val="20"/>
                <w:lang w:val="zh-TW" w:eastAsia="zh-TW" w:bidi="zh-TW"/>
              </w:rPr>
              <w:t>其他行政权力</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6</w:t>
            </w:r>
            <w:r>
              <w:rPr>
                <w:rFonts w:ascii="Times New Roman" w:hAnsi="Times New Roman" w:eastAsia="Times New Roman" w:cs="Times New Roman"/>
                <w:color w:val="auto"/>
                <w:sz w:val="20"/>
                <w:szCs w:val="20"/>
                <w:lang w:val="zh-TW" w:eastAsia="zh-TW" w:bidi="zh-TW"/>
              </w:rPr>
              <w:t>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农村部分计划生育家庭奖励扶助金</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6</w:t>
            </w:r>
            <w:r>
              <w:rPr>
                <w:rFonts w:ascii="Times New Roman" w:hAnsi="Times New Roman" w:eastAsia="Times New Roman" w:cs="Times New Roman"/>
                <w:color w:val="auto"/>
                <w:sz w:val="20"/>
                <w:szCs w:val="20"/>
                <w:lang w:val="zh-TW" w:eastAsia="zh-TW" w:bidi="zh-TW"/>
              </w:rPr>
              <w:t>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计划生育家庭特别扶助金</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6</w:t>
            </w:r>
            <w:r>
              <w:rPr>
                <w:rFonts w:ascii="Times New Roman" w:hAnsi="Times New Roman" w:eastAsia="Times New Roman" w:cs="Times New Roman"/>
                <w:color w:val="auto"/>
                <w:sz w:val="20"/>
                <w:szCs w:val="20"/>
                <w:lang w:val="zh-TW" w:eastAsia="zh-TW" w:bidi="zh-TW"/>
              </w:rPr>
              <w:t>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计划生育药具免费发放</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43"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6</w:t>
            </w:r>
            <w:r>
              <w:rPr>
                <w:rFonts w:ascii="Times New Roman" w:hAnsi="Times New Roman" w:eastAsia="Times New Roman" w:cs="Times New Roman"/>
                <w:color w:val="auto"/>
                <w:sz w:val="20"/>
                <w:szCs w:val="20"/>
                <w:lang w:val="zh-TW" w:eastAsia="zh-TW" w:bidi="zh-TW"/>
              </w:rPr>
              <w:t>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孕前优生健康免费检查服务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43"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卫生法律法规宣传、咨询服务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68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部分农村籍退役士兵老年生活补助的发放</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624"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部分烈士（含错杀后被平反人员）子女认定及生活补助给付</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级负责复核</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673"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建国后参战和参加核试验军队退役人员补助金的给付</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56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优抚对象医疗保障</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带病回乡退伍军人补助</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68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烈士遗属、因公牺牲军人遗属、病故军人遗属定期抚恤金的给付</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15"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伤残等级评定新办</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伤残等级评定补办</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7</w:t>
            </w:r>
            <w:r>
              <w:rPr>
                <w:rFonts w:ascii="Times New Roman" w:hAnsi="Times New Roman" w:eastAsia="Times New Roman" w:cs="Times New Roman"/>
                <w:color w:val="auto"/>
                <w:sz w:val="20"/>
                <w:szCs w:val="20"/>
                <w:lang w:val="zh-TW" w:eastAsia="zh-TW" w:bidi="zh-TW"/>
              </w:rPr>
              <w:t>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伤残等级调整</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2"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ascii="Times New Roman" w:hAnsi="Times New Roman" w:eastAsia="Times New Roman" w:cs="Times New Roman"/>
                <w:color w:val="auto"/>
                <w:sz w:val="20"/>
                <w:szCs w:val="20"/>
                <w:lang w:val="zh-TW" w:eastAsia="zh-TW" w:bidi="zh-TW"/>
              </w:rPr>
              <w:t>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部分农村籍退役士兵身份认定</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ascii="Times New Roman" w:hAnsi="Times New Roman" w:eastAsia="Times New Roman" w:cs="Times New Roman"/>
                <w:color w:val="auto"/>
                <w:sz w:val="20"/>
                <w:szCs w:val="20"/>
                <w:lang w:val="zh-TW" w:eastAsia="zh-TW" w:bidi="zh-TW"/>
              </w:rPr>
              <w:t>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退役军人信息登记服务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7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ascii="Times New Roman" w:hAnsi="Times New Roman" w:eastAsia="Times New Roman" w:cs="Times New Roman"/>
                <w:color w:val="auto"/>
                <w:sz w:val="20"/>
                <w:szCs w:val="20"/>
                <w:lang w:val="zh-TW" w:eastAsia="zh-TW" w:bidi="zh-TW"/>
              </w:rPr>
              <w:t>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伤残军人残疾关系转移服务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ascii="Times New Roman" w:hAnsi="Times New Roman" w:eastAsia="Times New Roman" w:cs="Times New Roman"/>
                <w:color w:val="auto"/>
                <w:sz w:val="20"/>
                <w:szCs w:val="20"/>
                <w:lang w:val="zh-TW" w:eastAsia="zh-TW" w:bidi="zh-TW"/>
              </w:rPr>
              <w:t>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自然灾害民房恢复重建资金申领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ascii="Times New Roman" w:hAnsi="Times New Roman" w:eastAsia="Times New Roman" w:cs="Times New Roman"/>
                <w:color w:val="auto"/>
                <w:sz w:val="20"/>
                <w:szCs w:val="20"/>
                <w:lang w:val="zh-TW" w:eastAsia="zh-TW" w:bidi="zh-TW"/>
              </w:rPr>
              <w:t>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受灾人员基本生活救助申请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ascii="Times New Roman" w:hAnsi="Times New Roman" w:eastAsia="Times New Roman" w:cs="Times New Roman"/>
                <w:color w:val="auto"/>
                <w:sz w:val="20"/>
                <w:szCs w:val="20"/>
                <w:lang w:val="zh-TW" w:eastAsia="zh-TW" w:bidi="zh-TW"/>
              </w:rPr>
              <w:t>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安全生产宣传教育和培训服务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ascii="Times New Roman" w:hAnsi="Times New Roman" w:eastAsia="Times New Roman" w:cs="Times New Roman"/>
                <w:color w:val="auto"/>
                <w:sz w:val="20"/>
                <w:szCs w:val="20"/>
                <w:lang w:val="zh-TW" w:eastAsia="zh-TW" w:bidi="zh-TW"/>
              </w:rPr>
              <w:t>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救灾捐赠款物代收</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hint="eastAsia" w:ascii="Times New Roman" w:hAnsi="Times New Roman" w:eastAsia="仿宋_GB2312" w:cs="Times New Roman"/>
                <w:color w:val="auto"/>
                <w:sz w:val="20"/>
                <w:szCs w:val="20"/>
                <w:lang w:val="zh-TW" w:eastAsia="zh-TW" w:bidi="zh-TW"/>
              </w:rPr>
              <w:t>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救灾捐赠凭证出具</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hint="eastAsia" w:ascii="Times New Roman" w:hAnsi="Times New Roman" w:eastAsia="仿宋_GB2312" w:cs="Times New Roman"/>
                <w:color w:val="auto"/>
                <w:sz w:val="20"/>
                <w:szCs w:val="20"/>
                <w:lang w:val="zh-TW" w:eastAsia="zh-TW" w:bidi="zh-TW"/>
              </w:rPr>
              <w:t>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退耕还林补贴申领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8</w:t>
            </w:r>
            <w:r>
              <w:rPr>
                <w:rFonts w:hint="eastAsia" w:ascii="Times New Roman" w:hAnsi="Times New Roman" w:eastAsia="仿宋_GB2312" w:cs="Times New Roman"/>
                <w:color w:val="auto"/>
                <w:sz w:val="20"/>
                <w:szCs w:val="20"/>
                <w:lang w:val="zh-TW" w:eastAsia="zh-TW" w:bidi="zh-TW"/>
              </w:rPr>
              <w:t>9</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造林绿化补贴申领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56"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90</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残疾人机动轮椅车燃油补贴申领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行政给付</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en-US" w:bidi="zh-TW"/>
              </w:rPr>
            </w:pPr>
            <w:r>
              <w:rPr>
                <w:rFonts w:hint="eastAsia" w:ascii="Times New Roman" w:hAnsi="Times New Roman" w:eastAsia="仿宋_GB2312" w:cs="宋体"/>
                <w:color w:val="auto"/>
                <w:sz w:val="20"/>
                <w:szCs w:val="20"/>
                <w:lang w:val="zh-TW" w:bidi="zh-TW"/>
              </w:rPr>
              <w:t>镇</w:t>
            </w:r>
            <w:r>
              <w:rPr>
                <w:rFonts w:ascii="Times New Roman" w:hAnsi="Times New Roman" w:eastAsia="仿宋_GB2312" w:cs="宋体"/>
                <w:color w:val="auto"/>
                <w:sz w:val="20"/>
                <w:szCs w:val="20"/>
                <w:lang w:val="zh-TW" w:eastAsia="zh-TW" w:bidi="zh-TW"/>
              </w:rPr>
              <w:t>级负责受理</w:t>
            </w: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宋体" w:cs="宋体"/>
                <w:color w:val="auto"/>
                <w:sz w:val="20"/>
                <w:szCs w:val="20"/>
                <w:lang w:val="zh-TW" w:eastAsia="en-US" w:bidi="zh-TW"/>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91</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贫困残疾人辅具适配服务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92</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残疾人政策咨询服务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93</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志愿者注册</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公共服务</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shd w:val="clear" w:color="auto" w:fill="auto"/>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94</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兵役</w:t>
            </w:r>
            <w:r>
              <w:rPr>
                <w:rFonts w:ascii="Times New Roman" w:hAnsi="Times New Roman" w:eastAsia="仿宋_GB2312" w:cs="宋体"/>
                <w:color w:val="auto"/>
                <w:sz w:val="20"/>
                <w:szCs w:val="20"/>
                <w:lang w:val="zh-CN" w:bidi="zh-TW"/>
              </w:rPr>
              <w:t>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ascii="Times New Roman" w:hAnsi="Times New Roman" w:eastAsia="仿宋_GB2312" w:cs="宋体"/>
                <w:color w:val="auto"/>
                <w:sz w:val="20"/>
                <w:szCs w:val="20"/>
                <w:lang w:val="zh-TW" w:eastAsia="zh-TW" w:bidi="zh-TW"/>
              </w:rPr>
              <w:t>行政确认</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tblCellMar>
            <w:top w:w="0" w:type="dxa"/>
            <w:left w:w="108" w:type="dxa"/>
            <w:bottom w:w="0" w:type="dxa"/>
            <w:right w:w="108" w:type="dxa"/>
          </w:tblCellMar>
        </w:tblPrEx>
        <w:trPr>
          <w:trHeight w:val="408"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95</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val="zh-TW" w:bidi="zh-TW"/>
              </w:rPr>
              <w:t>个体工商户登记</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val="zh-TW" w:bidi="zh-TW"/>
              </w:rPr>
              <w:t>行政许可</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tblCellMar>
            <w:top w:w="0" w:type="dxa"/>
            <w:left w:w="108" w:type="dxa"/>
            <w:bottom w:w="0" w:type="dxa"/>
            <w:right w:w="108" w:type="dxa"/>
          </w:tblCellMar>
        </w:tblPrEx>
        <w:trPr>
          <w:trHeight w:val="68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96</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val="zh-TW" w:bidi="zh-TW"/>
              </w:rPr>
              <w:t>适龄儿童、少年因身体状况需要延缓入学或休学审批</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val="zh-TW" w:bidi="zh-TW"/>
              </w:rPr>
              <w:t>行政许可</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tblCellMar>
            <w:top w:w="0" w:type="dxa"/>
            <w:left w:w="108" w:type="dxa"/>
            <w:bottom w:w="0" w:type="dxa"/>
            <w:right w:w="108" w:type="dxa"/>
          </w:tblCellMar>
        </w:tblPrEx>
        <w:trPr>
          <w:trHeight w:val="680"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97</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val="zh-TW" w:bidi="zh-TW"/>
              </w:rPr>
              <w:t>个人之间、个人与单位之间发生的林木所有权和林地使用权争议处理</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eastAsia="zh-TW" w:bidi="zh-TW"/>
              </w:rPr>
            </w:pPr>
            <w:r>
              <w:rPr>
                <w:rFonts w:hint="eastAsia" w:ascii="Times New Roman" w:hAnsi="Times New Roman" w:eastAsia="仿宋_GB2312" w:cs="宋体"/>
                <w:color w:val="auto"/>
                <w:sz w:val="20"/>
                <w:szCs w:val="20"/>
                <w:lang w:val="zh-TW" w:bidi="zh-TW"/>
              </w:rPr>
              <w:t>行政裁决</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 w:val="20"/>
                <w:szCs w:val="20"/>
                <w:lang w:val="zh-TW"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tblCellMar>
            <w:top w:w="0" w:type="dxa"/>
            <w:left w:w="108" w:type="dxa"/>
            <w:bottom w:w="0" w:type="dxa"/>
            <w:right w:w="108" w:type="dxa"/>
          </w:tblCellMar>
        </w:tblPrEx>
        <w:trPr>
          <w:trHeight w:val="425" w:hRule="exact"/>
          <w:jc w:val="center"/>
        </w:trPr>
        <w:tc>
          <w:tcPr>
            <w:tcW w:w="665"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98</w:t>
            </w:r>
          </w:p>
        </w:tc>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救灾捐赠款物的组织代收</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其他权力</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CN" w:bidi="zh-TW"/>
              </w:rPr>
            </w:pPr>
          </w:p>
        </w:tc>
        <w:tc>
          <w:tcPr>
            <w:tcW w:w="1200"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r>
        <w:tblPrEx>
          <w:tblCellMar>
            <w:top w:w="0" w:type="dxa"/>
            <w:left w:w="108" w:type="dxa"/>
            <w:bottom w:w="0" w:type="dxa"/>
            <w:right w:w="108" w:type="dxa"/>
          </w:tblCellMar>
        </w:tblPrEx>
        <w:trPr>
          <w:trHeight w:val="702" w:hRule="exact"/>
          <w:jc w:val="center"/>
        </w:trPr>
        <w:tc>
          <w:tcPr>
            <w:tcW w:w="665" w:type="dxa"/>
            <w:tcBorders>
              <w:top w:val="single" w:color="auto" w:sz="4" w:space="0"/>
              <w:left w:val="single" w:color="auto" w:sz="8" w:space="0"/>
              <w:bottom w:val="single" w:color="auto" w:sz="8" w:space="0"/>
              <w:right w:val="single" w:color="auto" w:sz="4" w:space="0"/>
            </w:tcBorders>
            <w:shd w:val="clear" w:color="auto" w:fill="auto"/>
            <w:vAlign w:val="center"/>
          </w:tcPr>
          <w:p>
            <w:pPr>
              <w:shd w:val="clear"/>
              <w:jc w:val="center"/>
              <w:rPr>
                <w:rFonts w:ascii="Times New Roman" w:hAnsi="Times New Roman" w:eastAsia="宋体" w:cs="Times New Roman"/>
                <w:color w:val="auto"/>
                <w:sz w:val="20"/>
                <w:szCs w:val="20"/>
                <w:lang w:val="zh-TW" w:eastAsia="zh-TW" w:bidi="zh-TW"/>
              </w:rPr>
            </w:pPr>
            <w:r>
              <w:rPr>
                <w:rFonts w:hint="eastAsia" w:ascii="Times New Roman" w:hAnsi="Times New Roman" w:eastAsia="仿宋_GB2312" w:cs="Times New Roman"/>
                <w:color w:val="auto"/>
                <w:sz w:val="20"/>
                <w:szCs w:val="20"/>
                <w:lang w:bidi="zh-TW"/>
              </w:rPr>
              <w:t>99</w:t>
            </w:r>
          </w:p>
        </w:tc>
        <w:tc>
          <w:tcPr>
            <w:tcW w:w="3364" w:type="dxa"/>
            <w:tcBorders>
              <w:top w:val="single" w:color="auto" w:sz="4" w:space="0"/>
              <w:left w:val="single" w:color="auto" w:sz="4" w:space="0"/>
              <w:bottom w:val="single" w:color="auto" w:sz="8" w:space="0"/>
              <w:right w:val="single" w:color="auto" w:sz="4" w:space="0"/>
            </w:tcBorders>
            <w:shd w:val="clear" w:color="auto" w:fill="auto"/>
            <w:vAlign w:val="center"/>
          </w:tcPr>
          <w:p>
            <w:pPr>
              <w:shd w:val="clear"/>
              <w:jc w:val="both"/>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对本乡镇户籍生活无着流浪乞讨人员的救助及安置</w:t>
            </w:r>
          </w:p>
        </w:tc>
        <w:tc>
          <w:tcPr>
            <w:tcW w:w="1364" w:type="dxa"/>
            <w:tcBorders>
              <w:top w:val="single" w:color="auto" w:sz="4" w:space="0"/>
              <w:left w:val="single" w:color="auto" w:sz="4" w:space="0"/>
              <w:bottom w:val="single" w:color="auto" w:sz="8"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TW" w:bidi="zh-TW"/>
              </w:rPr>
            </w:pPr>
            <w:r>
              <w:rPr>
                <w:rFonts w:hint="eastAsia" w:ascii="Times New Roman" w:hAnsi="Times New Roman" w:eastAsia="仿宋_GB2312" w:cs="宋体"/>
                <w:color w:val="auto"/>
                <w:sz w:val="20"/>
                <w:szCs w:val="20"/>
                <w:lang w:val="zh-TW" w:bidi="zh-TW"/>
              </w:rPr>
              <w:t>其他权力</w:t>
            </w:r>
          </w:p>
        </w:tc>
        <w:tc>
          <w:tcPr>
            <w:tcW w:w="2228" w:type="dxa"/>
            <w:tcBorders>
              <w:top w:val="single" w:color="auto" w:sz="4" w:space="0"/>
              <w:left w:val="single" w:color="auto" w:sz="4" w:space="0"/>
              <w:bottom w:val="single" w:color="auto" w:sz="8" w:space="0"/>
              <w:right w:val="single" w:color="auto" w:sz="4" w:space="0"/>
            </w:tcBorders>
            <w:shd w:val="clear" w:color="auto" w:fill="auto"/>
            <w:vAlign w:val="center"/>
          </w:tcPr>
          <w:p>
            <w:pPr>
              <w:shd w:val="clear"/>
              <w:jc w:val="center"/>
              <w:rPr>
                <w:rFonts w:ascii="Times New Roman" w:hAnsi="Times New Roman" w:eastAsia="宋体" w:cs="宋体"/>
                <w:color w:val="auto"/>
                <w:kern w:val="2"/>
                <w:sz w:val="20"/>
                <w:szCs w:val="20"/>
                <w:lang w:val="zh-TW" w:eastAsia="zh-CN" w:bidi="zh-TW"/>
              </w:rPr>
            </w:pPr>
          </w:p>
        </w:tc>
        <w:tc>
          <w:tcPr>
            <w:tcW w:w="1200" w:type="dxa"/>
            <w:tcBorders>
              <w:top w:val="single" w:color="auto" w:sz="4" w:space="0"/>
              <w:left w:val="single" w:color="auto" w:sz="4" w:space="0"/>
              <w:bottom w:val="single" w:color="auto" w:sz="8"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val="zh-TW" w:eastAsia="en-US" w:bidi="en-US"/>
              </w:rPr>
            </w:pPr>
          </w:p>
        </w:tc>
      </w:tr>
    </w:tbl>
    <w:p>
      <w:pPr>
        <w:pStyle w:val="9"/>
        <w:shd w:val="clear"/>
        <w:rPr>
          <w:rFonts w:ascii="Times New Roman" w:hAnsi="Times New Roman" w:cs="Times New Roman"/>
          <w:color w:val="auto"/>
          <w:sz w:val="32"/>
          <w:szCs w:val="32"/>
        </w:rPr>
      </w:pPr>
      <w:r>
        <w:rPr>
          <w:rFonts w:hint="eastAsia" w:ascii="Times New Roman" w:hAnsi="Times New Roman" w:eastAsia="黑体" w:cs="黑体"/>
          <w:color w:val="auto"/>
          <w:sz w:val="32"/>
          <w:szCs w:val="32"/>
        </w:rPr>
        <w:t>附件</w:t>
      </w:r>
      <w:r>
        <w:rPr>
          <w:rFonts w:ascii="Times New Roman" w:hAnsi="Times New Roman" w:cs="Times New Roman"/>
          <w:color w:val="auto"/>
          <w:sz w:val="32"/>
          <w:szCs w:val="32"/>
        </w:rPr>
        <w:t>2</w:t>
      </w:r>
    </w:p>
    <w:p>
      <w:pPr>
        <w:bidi w:val="0"/>
      </w:pPr>
    </w:p>
    <w:p>
      <w:pPr>
        <w:shd w:val="clear"/>
        <w:spacing w:line="1" w:lineRule="exact"/>
        <w:jc w:val="left"/>
        <w:rPr>
          <w:rFonts w:ascii="Times New Roman" w:hAnsi="Times New Roman" w:eastAsia="Times New Roman" w:cs="Times New Roman"/>
          <w:color w:val="auto"/>
          <w:kern w:val="0"/>
          <w:sz w:val="24"/>
          <w:lang w:eastAsia="en-US" w:bidi="en-US"/>
        </w:rPr>
      </w:pPr>
    </w:p>
    <w:tbl>
      <w:tblPr>
        <w:tblStyle w:val="10"/>
        <w:tblW w:w="8833" w:type="dxa"/>
        <w:jc w:val="center"/>
        <w:shd w:val="clear" w:color="auto" w:fill="auto"/>
        <w:tblLayout w:type="fixed"/>
        <w:tblCellMar>
          <w:top w:w="0" w:type="dxa"/>
          <w:left w:w="108" w:type="dxa"/>
          <w:bottom w:w="0" w:type="dxa"/>
          <w:right w:w="108" w:type="dxa"/>
        </w:tblCellMar>
      </w:tblPr>
      <w:tblGrid>
        <w:gridCol w:w="650"/>
        <w:gridCol w:w="4047"/>
        <w:gridCol w:w="1393"/>
        <w:gridCol w:w="1714"/>
        <w:gridCol w:w="1029"/>
      </w:tblGrid>
      <w:tr>
        <w:tblPrEx>
          <w:shd w:val="clear" w:color="auto" w:fill="auto"/>
          <w:tblCellMar>
            <w:top w:w="0" w:type="dxa"/>
            <w:left w:w="108" w:type="dxa"/>
            <w:bottom w:w="0" w:type="dxa"/>
            <w:right w:w="108" w:type="dxa"/>
          </w:tblCellMar>
        </w:tblPrEx>
        <w:trPr>
          <w:trHeight w:val="641" w:hRule="exact"/>
          <w:tblHeader/>
          <w:jc w:val="center"/>
        </w:trPr>
        <w:tc>
          <w:tcPr>
            <w:tcW w:w="8833" w:type="dxa"/>
            <w:gridSpan w:val="5"/>
            <w:tcBorders>
              <w:top w:val="nil"/>
              <w:left w:val="nil"/>
              <w:bottom w:val="single" w:color="auto" w:sz="8" w:space="0"/>
              <w:right w:val="nil"/>
            </w:tcBorders>
            <w:shd w:val="clear" w:color="auto" w:fill="auto"/>
            <w:vAlign w:val="center"/>
          </w:tcPr>
          <w:p>
            <w:pPr>
              <w:shd w:val="clear"/>
              <w:spacing w:after="440"/>
              <w:ind w:firstLine="260"/>
              <w:jc w:val="center"/>
              <w:rPr>
                <w:rFonts w:ascii="Times New Roman" w:hAnsi="Times New Roman" w:eastAsia="仿宋_GB2312" w:cs="宋体"/>
                <w:color w:val="auto"/>
                <w:spacing w:val="-11"/>
                <w:sz w:val="42"/>
                <w:szCs w:val="42"/>
                <w:lang w:val="zh-TW" w:eastAsia="zh-TW" w:bidi="zh-TW"/>
              </w:rPr>
            </w:pPr>
            <w:r>
              <w:rPr>
                <w:rFonts w:hint="eastAsia" w:ascii="Times New Roman" w:hAnsi="Times New Roman" w:eastAsia="方正小标宋_GBK" w:cs="方正小标宋_GBK"/>
                <w:color w:val="auto"/>
                <w:spacing w:val="-11"/>
                <w:sz w:val="44"/>
                <w:szCs w:val="44"/>
                <w:lang w:val="zh-TW" w:eastAsia="zh-TW" w:bidi="zh-TW"/>
              </w:rPr>
              <w:t>襄垣县</w:t>
            </w:r>
            <w:r>
              <w:rPr>
                <w:rFonts w:hint="eastAsia" w:ascii="Times New Roman" w:hAnsi="Times New Roman" w:eastAsia="方正小标宋_GBK" w:cs="方正小标宋_GBK"/>
                <w:color w:val="auto"/>
                <w:spacing w:val="-11"/>
                <w:sz w:val="44"/>
                <w:szCs w:val="44"/>
                <w:lang w:val="zh-TW" w:bidi="zh-TW"/>
              </w:rPr>
              <w:t>村</w:t>
            </w:r>
            <w:r>
              <w:rPr>
                <w:rFonts w:hint="eastAsia" w:ascii="Times New Roman" w:hAnsi="Times New Roman" w:eastAsia="方正小标宋_GBK" w:cs="方正小标宋_GBK"/>
                <w:color w:val="auto"/>
                <w:spacing w:val="-11"/>
                <w:sz w:val="44"/>
                <w:szCs w:val="44"/>
                <w:lang w:val="zh-TW" w:eastAsia="zh-TW" w:bidi="zh-TW"/>
              </w:rPr>
              <w:t>级政务服务事项赋权清单（第一批）</w:t>
            </w:r>
          </w:p>
          <w:p>
            <w:pPr>
              <w:shd w:val="clear"/>
              <w:jc w:val="center"/>
              <w:rPr>
                <w:rFonts w:ascii="Times New Roman" w:hAnsi="Times New Roman" w:eastAsia="宋体" w:cs="宋体"/>
                <w:color w:val="auto"/>
                <w:spacing w:val="-11"/>
                <w:sz w:val="20"/>
                <w:szCs w:val="20"/>
                <w:lang w:val="zh-TW" w:eastAsia="zh-TW" w:bidi="zh-TW"/>
              </w:rPr>
            </w:pPr>
          </w:p>
        </w:tc>
      </w:tr>
      <w:tr>
        <w:tblPrEx>
          <w:shd w:val="clear" w:color="auto" w:fill="auto"/>
          <w:tblCellMar>
            <w:top w:w="0" w:type="dxa"/>
            <w:left w:w="108" w:type="dxa"/>
            <w:bottom w:w="0" w:type="dxa"/>
            <w:right w:w="108" w:type="dxa"/>
          </w:tblCellMar>
        </w:tblPrEx>
        <w:trPr>
          <w:trHeight w:val="641" w:hRule="exact"/>
          <w:tblHeader/>
          <w:jc w:val="center"/>
        </w:trPr>
        <w:tc>
          <w:tcPr>
            <w:tcW w:w="650" w:type="dxa"/>
            <w:tcBorders>
              <w:top w:val="single" w:color="auto" w:sz="8"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黑体" w:cs="黑体"/>
                <w:color w:val="auto"/>
                <w:sz w:val="20"/>
                <w:szCs w:val="20"/>
                <w:lang w:val="zh-TW" w:eastAsia="zh-TW" w:bidi="zh-TW"/>
              </w:rPr>
            </w:pPr>
            <w:r>
              <w:rPr>
                <w:rFonts w:hint="eastAsia" w:ascii="Times New Roman" w:hAnsi="Times New Roman" w:eastAsia="黑体" w:cs="黑体"/>
                <w:color w:val="auto"/>
                <w:sz w:val="20"/>
                <w:szCs w:val="20"/>
                <w:lang w:val="zh-TW" w:eastAsia="zh-TW" w:bidi="zh-TW"/>
              </w:rPr>
              <w:t>序号</w:t>
            </w:r>
          </w:p>
        </w:tc>
        <w:tc>
          <w:tcPr>
            <w:tcW w:w="4047" w:type="dxa"/>
            <w:tcBorders>
              <w:top w:val="single" w:color="auto" w:sz="8"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黑体" w:cs="黑体"/>
                <w:color w:val="auto"/>
                <w:sz w:val="20"/>
                <w:szCs w:val="20"/>
                <w:lang w:val="zh-TW" w:eastAsia="zh-TW" w:bidi="zh-TW"/>
              </w:rPr>
            </w:pPr>
            <w:r>
              <w:rPr>
                <w:rFonts w:hint="eastAsia" w:ascii="Times New Roman" w:hAnsi="Times New Roman" w:eastAsia="黑体" w:cs="黑体"/>
                <w:color w:val="auto"/>
                <w:sz w:val="20"/>
                <w:szCs w:val="20"/>
                <w:lang w:val="zh-TW" w:eastAsia="zh-TW" w:bidi="zh-TW"/>
              </w:rPr>
              <w:t>事项名称</w:t>
            </w:r>
          </w:p>
        </w:tc>
        <w:tc>
          <w:tcPr>
            <w:tcW w:w="1393" w:type="dxa"/>
            <w:tcBorders>
              <w:top w:val="single" w:color="auto" w:sz="8"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黑体" w:cs="黑体"/>
                <w:color w:val="auto"/>
                <w:sz w:val="20"/>
                <w:szCs w:val="20"/>
                <w:lang w:val="zh-TW" w:eastAsia="zh-TW" w:bidi="zh-TW"/>
              </w:rPr>
            </w:pPr>
            <w:r>
              <w:rPr>
                <w:rFonts w:hint="eastAsia" w:ascii="Times New Roman" w:hAnsi="Times New Roman" w:eastAsia="黑体" w:cs="黑体"/>
                <w:color w:val="auto"/>
                <w:sz w:val="20"/>
                <w:szCs w:val="20"/>
                <w:lang w:val="zh-TW" w:eastAsia="zh-TW" w:bidi="zh-TW"/>
              </w:rPr>
              <w:t>事项类型</w:t>
            </w:r>
          </w:p>
        </w:tc>
        <w:tc>
          <w:tcPr>
            <w:tcW w:w="1714" w:type="dxa"/>
            <w:tcBorders>
              <w:top w:val="single" w:color="auto" w:sz="8"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黑体" w:cs="黑体"/>
                <w:color w:val="auto"/>
                <w:sz w:val="20"/>
                <w:szCs w:val="20"/>
                <w:lang w:val="zh-TW" w:eastAsia="zh-TW" w:bidi="zh-TW"/>
              </w:rPr>
            </w:pPr>
            <w:r>
              <w:rPr>
                <w:rFonts w:hint="eastAsia" w:ascii="Times New Roman" w:hAnsi="Times New Roman" w:eastAsia="黑体" w:cs="黑体"/>
                <w:color w:val="auto"/>
                <w:sz w:val="20"/>
                <w:szCs w:val="20"/>
                <w:lang w:val="zh-TW" w:eastAsia="zh-TW" w:bidi="zh-TW"/>
              </w:rPr>
              <w:t>办理方式</w:t>
            </w:r>
          </w:p>
        </w:tc>
        <w:tc>
          <w:tcPr>
            <w:tcW w:w="1029" w:type="dxa"/>
            <w:tcBorders>
              <w:top w:val="single" w:color="auto" w:sz="8"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黑体" w:cs="黑体"/>
                <w:color w:val="auto"/>
                <w:sz w:val="20"/>
                <w:szCs w:val="20"/>
                <w:lang w:val="zh-TW" w:eastAsia="zh-TW" w:bidi="zh-TW"/>
              </w:rPr>
            </w:pPr>
            <w:r>
              <w:rPr>
                <w:rFonts w:hint="eastAsia" w:ascii="Times New Roman" w:hAnsi="Times New Roman" w:eastAsia="黑体" w:cs="黑体"/>
                <w:color w:val="auto"/>
                <w:sz w:val="20"/>
                <w:szCs w:val="20"/>
                <w:lang w:val="zh-TW" w:eastAsia="zh-TW" w:bidi="zh-TW"/>
              </w:rPr>
              <w:t>备注</w:t>
            </w: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兵役登记</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行政确认</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生育服务登记</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行政确认</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再生育子女审批</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4</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出具申请收养当事人有（无）子女证明</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5</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婚姻生育情况证明</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6</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受委托征收社会抚养费</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行政征收</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7</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对可能影响社会安全事件的矛盾纠纷调解</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行政确认</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8</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受理进入光荣院集中供养申请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9</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社会救助对象材料递交</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10</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城市低收入住房困难家庭信息材料递交</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11</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城乡居民最低生活保障的申报</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12</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临时救助</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行政给付</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w:t>
            </w:r>
            <w:r>
              <w:rPr>
                <w:rFonts w:hint="eastAsia" w:ascii="Times New Roman" w:hAnsi="Times New Roman" w:eastAsia="仿宋_GB2312" w:cs="宋体"/>
                <w:color w:val="auto"/>
                <w:szCs w:val="21"/>
                <w:lang w:bidi="zh-TW"/>
              </w:rPr>
              <w:t>办</w:t>
            </w:r>
            <w:r>
              <w:rPr>
                <w:rFonts w:ascii="Times New Roman" w:hAnsi="Times New Roman" w:eastAsia="仿宋_GB2312" w:cs="宋体"/>
                <w:color w:val="auto"/>
                <w:szCs w:val="21"/>
                <w:lang w:val="zh-TW" w:eastAsia="zh-TW" w:bidi="zh-TW"/>
              </w:rPr>
              <w:t>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680"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13</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283" w:lineRule="exact"/>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困难残疾人生活补贴和重度残疾人护理补贴的申报</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行政给付</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14</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残疾人辅助器具申报及发放</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15</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残疾人无障碍改造申请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16</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特困人员供养申请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行政给付</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17</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孤儿生活救助申请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行政给付</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18</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办理五保供养证</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19</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农村五保对象入住敬老院申请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20</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80</w:t>
            </w:r>
            <w:r>
              <w:rPr>
                <w:rFonts w:ascii="Times New Roman" w:hAnsi="Times New Roman" w:eastAsia="仿宋_GB2312" w:cs="宋体"/>
                <w:color w:val="auto"/>
                <w:szCs w:val="21"/>
                <w:lang w:val="zh-TW" w:eastAsia="zh-TW" w:bidi="zh-TW"/>
              </w:rPr>
              <w:t>周岁以上老年人领取高龄补贴的申请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21</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失能老年人补贴申报</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行政给付</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22</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慈善救助</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23</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重点优抚对象申请申报</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24</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符合条件的抚恤优待对象的优待办理</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25</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60</w:t>
            </w:r>
            <w:r>
              <w:rPr>
                <w:rFonts w:ascii="Times New Roman" w:hAnsi="Times New Roman" w:eastAsia="仿宋_GB2312" w:cs="宋体"/>
                <w:color w:val="auto"/>
                <w:szCs w:val="21"/>
                <w:lang w:val="zh-TW" w:eastAsia="zh-TW" w:bidi="zh-TW"/>
              </w:rPr>
              <w:t>周岁农村籍困难退役士兵生活补助申报</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26</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城乡居民养老保险到龄核定</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27</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城乡参保信息和领取养老金信息查询</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28</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新增城乡居民参保登记审核申报</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29</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城乡居民养老保险丧葬补贴办理</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30</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被征地城乡居民死亡退保办理</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31</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城乡居民到龄死亡月报表申报</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32</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城乡居民医疗保险收缴</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33</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被征地农民丧葬费死亡证明</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34</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社会保障卡（发放）</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shd w:val="clear" w:color="auto" w:fill="auto"/>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35</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参保人员养老、医疗关系转移</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36</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下岗失业人员免费技能培训报名</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tblCellMar>
            <w:top w:w="0" w:type="dxa"/>
            <w:left w:w="108" w:type="dxa"/>
            <w:bottom w:w="0" w:type="dxa"/>
            <w:right w:w="108" w:type="dxa"/>
          </w:tblCellMar>
        </w:tblPrEx>
        <w:trPr>
          <w:trHeight w:val="414"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37</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居民养老保险丧葬费死亡证明</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tblCellMar>
            <w:top w:w="0" w:type="dxa"/>
            <w:left w:w="108" w:type="dxa"/>
            <w:bottom w:w="0" w:type="dxa"/>
            <w:right w:w="108" w:type="dxa"/>
          </w:tblCellMar>
        </w:tblPrEx>
        <w:trPr>
          <w:trHeight w:val="412"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38</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被征地农民保费退发</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tblCellMar>
            <w:top w:w="0" w:type="dxa"/>
            <w:left w:w="108" w:type="dxa"/>
            <w:bottom w:w="0" w:type="dxa"/>
            <w:right w:w="108" w:type="dxa"/>
          </w:tblCellMar>
        </w:tblPrEx>
        <w:trPr>
          <w:trHeight w:val="680"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39</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278" w:lineRule="exact"/>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因自然灾害受损的居民住房恢复重建补助对象的材料提交</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公共服务</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tblCellMar>
            <w:top w:w="0" w:type="dxa"/>
            <w:left w:w="108" w:type="dxa"/>
            <w:bottom w:w="0" w:type="dxa"/>
            <w:right w:w="108" w:type="dxa"/>
          </w:tblCellMar>
        </w:tblPrEx>
        <w:trPr>
          <w:trHeight w:val="425"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40</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农户煤改电、煤改气申请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行政确认</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tblCellMar>
            <w:top w:w="0" w:type="dxa"/>
            <w:left w:w="108" w:type="dxa"/>
            <w:bottom w:w="0" w:type="dxa"/>
            <w:right w:w="108" w:type="dxa"/>
          </w:tblCellMar>
        </w:tblPrEx>
        <w:trPr>
          <w:trHeight w:val="425"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41</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农户改厕申请</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行政确认</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tblCellMar>
            <w:top w:w="0" w:type="dxa"/>
            <w:left w:w="108" w:type="dxa"/>
            <w:bottom w:w="0" w:type="dxa"/>
            <w:right w:w="108" w:type="dxa"/>
          </w:tblCellMar>
        </w:tblPrEx>
        <w:trPr>
          <w:trHeight w:val="425" w:hRule="exact"/>
          <w:jc w:val="center"/>
        </w:trPr>
        <w:tc>
          <w:tcPr>
            <w:tcW w:w="650" w:type="dxa"/>
            <w:tcBorders>
              <w:top w:val="single" w:color="auto" w:sz="4" w:space="0"/>
              <w:left w:val="single" w:color="auto" w:sz="8"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42</w:t>
            </w:r>
          </w:p>
        </w:tc>
        <w:tc>
          <w:tcPr>
            <w:tcW w:w="404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危房改造</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4"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r>
        <w:tblPrEx>
          <w:tblCellMar>
            <w:top w:w="0" w:type="dxa"/>
            <w:left w:w="108" w:type="dxa"/>
            <w:bottom w:w="0" w:type="dxa"/>
            <w:right w:w="108" w:type="dxa"/>
          </w:tblCellMar>
        </w:tblPrEx>
        <w:trPr>
          <w:trHeight w:val="425" w:hRule="exact"/>
          <w:jc w:val="center"/>
        </w:trPr>
        <w:tc>
          <w:tcPr>
            <w:tcW w:w="650" w:type="dxa"/>
            <w:tcBorders>
              <w:top w:val="single" w:color="auto" w:sz="4" w:space="0"/>
              <w:left w:val="single" w:color="auto" w:sz="8" w:space="0"/>
              <w:bottom w:val="single" w:color="auto" w:sz="8"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Times New Roman" w:cs="Times New Roman"/>
                <w:color w:val="auto"/>
                <w:szCs w:val="21"/>
                <w:lang w:val="zh-TW" w:eastAsia="zh-TW" w:bidi="zh-TW"/>
              </w:rPr>
              <w:t>43</w:t>
            </w:r>
          </w:p>
        </w:tc>
        <w:tc>
          <w:tcPr>
            <w:tcW w:w="4047" w:type="dxa"/>
            <w:tcBorders>
              <w:top w:val="single" w:color="auto" w:sz="4" w:space="0"/>
              <w:left w:val="single" w:color="auto" w:sz="4" w:space="0"/>
              <w:bottom w:val="single" w:color="auto" w:sz="8" w:space="0"/>
              <w:right w:val="single" w:color="auto" w:sz="4" w:space="0"/>
            </w:tcBorders>
            <w:shd w:val="clear" w:color="auto" w:fill="auto"/>
            <w:vAlign w:val="center"/>
          </w:tcPr>
          <w:p>
            <w:pPr>
              <w:shd w:val="clear"/>
              <w:jc w:val="both"/>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贫困户危房、旧房加固维修</w:t>
            </w:r>
          </w:p>
        </w:tc>
        <w:tc>
          <w:tcPr>
            <w:tcW w:w="1393" w:type="dxa"/>
            <w:tcBorders>
              <w:top w:val="single" w:color="auto" w:sz="4" w:space="0"/>
              <w:left w:val="single" w:color="auto" w:sz="4" w:space="0"/>
              <w:bottom w:val="single" w:color="auto" w:sz="8" w:space="0"/>
              <w:right w:val="single" w:color="auto" w:sz="4" w:space="0"/>
            </w:tcBorders>
            <w:shd w:val="clear" w:color="auto" w:fill="auto"/>
            <w:vAlign w:val="center"/>
          </w:tcPr>
          <w:p>
            <w:pPr>
              <w:shd w:val="clear"/>
              <w:jc w:val="center"/>
              <w:rPr>
                <w:rFonts w:hint="eastAsia" w:ascii="Times New Roman" w:hAnsi="Times New Roman" w:eastAsia="仿宋_GB2312" w:cs="宋体"/>
                <w:color w:val="auto"/>
                <w:szCs w:val="21"/>
                <w:lang w:val="zh-TW" w:eastAsia="zh-CN" w:bidi="zh-TW"/>
              </w:rPr>
            </w:pPr>
            <w:r>
              <w:rPr>
                <w:rFonts w:ascii="Times New Roman" w:hAnsi="Times New Roman" w:eastAsia="仿宋_GB2312" w:cs="宋体"/>
                <w:color w:val="auto"/>
                <w:szCs w:val="21"/>
                <w:lang w:val="zh-TW" w:eastAsia="zh-TW" w:bidi="zh-TW"/>
              </w:rPr>
              <w:t>其他</w:t>
            </w:r>
            <w:r>
              <w:rPr>
                <w:rFonts w:hint="eastAsia" w:ascii="Times New Roman" w:hAnsi="Times New Roman" w:eastAsia="仿宋_GB2312" w:cs="宋体"/>
                <w:color w:val="auto"/>
                <w:szCs w:val="21"/>
                <w:lang w:val="zh-TW" w:eastAsia="zh-CN" w:bidi="zh-TW"/>
              </w:rPr>
              <w:t>权力</w:t>
            </w:r>
          </w:p>
        </w:tc>
        <w:tc>
          <w:tcPr>
            <w:tcW w:w="1714" w:type="dxa"/>
            <w:tcBorders>
              <w:top w:val="single" w:color="auto" w:sz="4" w:space="0"/>
              <w:left w:val="single" w:color="auto" w:sz="4" w:space="0"/>
              <w:bottom w:val="single" w:color="auto" w:sz="8" w:space="0"/>
              <w:right w:val="single" w:color="auto" w:sz="4" w:space="0"/>
            </w:tcBorders>
            <w:shd w:val="clear" w:color="auto" w:fill="auto"/>
            <w:vAlign w:val="center"/>
          </w:tcPr>
          <w:p>
            <w:pPr>
              <w:shd w:val="clear"/>
              <w:jc w:val="center"/>
              <w:rPr>
                <w:rFonts w:ascii="Times New Roman" w:hAnsi="Times New Roman" w:eastAsia="宋体" w:cs="宋体"/>
                <w:color w:val="auto"/>
                <w:szCs w:val="21"/>
                <w:lang w:val="zh-TW" w:eastAsia="zh-TW" w:bidi="zh-TW"/>
              </w:rPr>
            </w:pPr>
            <w:r>
              <w:rPr>
                <w:rFonts w:ascii="Times New Roman" w:hAnsi="Times New Roman" w:eastAsia="仿宋_GB2312" w:cs="宋体"/>
                <w:color w:val="auto"/>
                <w:szCs w:val="21"/>
                <w:lang w:val="zh-TW" w:eastAsia="zh-TW" w:bidi="zh-TW"/>
              </w:rPr>
              <w:t>初审或帮办代办</w:t>
            </w:r>
          </w:p>
        </w:tc>
        <w:tc>
          <w:tcPr>
            <w:tcW w:w="1029" w:type="dxa"/>
            <w:tcBorders>
              <w:top w:val="single" w:color="auto" w:sz="4" w:space="0"/>
              <w:left w:val="single" w:color="auto" w:sz="4" w:space="0"/>
              <w:bottom w:val="single" w:color="auto" w:sz="8" w:space="0"/>
              <w:right w:val="single" w:color="auto" w:sz="8" w:space="0"/>
            </w:tcBorders>
            <w:shd w:val="clear" w:color="auto" w:fill="auto"/>
            <w:vAlign w:val="center"/>
          </w:tcPr>
          <w:p>
            <w:pPr>
              <w:shd w:val="clear"/>
              <w:jc w:val="center"/>
              <w:rPr>
                <w:rFonts w:ascii="Times New Roman" w:hAnsi="Times New Roman" w:eastAsia="Times New Roman" w:cs="Times New Roman"/>
                <w:color w:val="auto"/>
                <w:kern w:val="0"/>
                <w:sz w:val="10"/>
                <w:szCs w:val="10"/>
                <w:lang w:eastAsia="en-US" w:bidi="en-US"/>
              </w:rPr>
            </w:pPr>
          </w:p>
        </w:tc>
      </w:tr>
    </w:tbl>
    <w:p>
      <w:pPr>
        <w:shd w:val="clear"/>
        <w:jc w:val="left"/>
        <w:rPr>
          <w:rFonts w:ascii="Times New Roman" w:hAnsi="Times New Roman"/>
          <w:color w:val="auto"/>
          <w:lang w:eastAsia="en-US"/>
        </w:rPr>
      </w:pPr>
    </w:p>
    <w:p>
      <w:pPr>
        <w:pStyle w:val="2"/>
        <w:shd w:val="clear"/>
        <w:spacing w:beforeAutospacing="0" w:afterAutospacing="0" w:line="576" w:lineRule="exact"/>
        <w:rPr>
          <w:rFonts w:hint="default" w:ascii="Times New Roman" w:hAnsi="Times New Roman" w:eastAsiaTheme="minorEastAsia" w:cstheme="minorBidi"/>
          <w:color w:val="auto"/>
          <w:kern w:val="2"/>
          <w:sz w:val="32"/>
          <w:szCs w:val="32"/>
          <w:lang w:eastAsia="en-US"/>
        </w:rPr>
      </w:pPr>
    </w:p>
    <w:p>
      <w:pPr>
        <w:shd w:val="clear"/>
        <w:spacing w:line="576" w:lineRule="exact"/>
        <w:rPr>
          <w:rFonts w:ascii="Times New Roman" w:hAnsi="Times New Roman"/>
          <w:color w:val="auto"/>
          <w:sz w:val="32"/>
          <w:szCs w:val="32"/>
          <w:lang w:eastAsia="en-US"/>
        </w:rPr>
      </w:pPr>
    </w:p>
    <w:p>
      <w:pPr>
        <w:shd w:val="clear"/>
        <w:rPr>
          <w:rFonts w:hint="default" w:ascii="Times New Roman" w:hAnsi="Times New Roman"/>
          <w:color w:val="auto"/>
          <w:sz w:val="32"/>
          <w:szCs w:val="32"/>
          <w:lang w:eastAsia="en-US"/>
        </w:rPr>
      </w:pPr>
      <w:r>
        <w:rPr>
          <w:rFonts w:hint="default" w:ascii="Times New Roman" w:hAnsi="Times New Roman"/>
          <w:color w:val="auto"/>
          <w:sz w:val="32"/>
          <w:szCs w:val="32"/>
          <w:lang w:eastAsia="en-US"/>
        </w:rPr>
        <w:br w:type="page"/>
      </w:r>
    </w:p>
    <w:p>
      <w:pPr>
        <w:shd w:val="clear"/>
        <w:rPr>
          <w:rFonts w:hint="default"/>
          <w:color w:val="auto"/>
          <w:sz w:val="32"/>
          <w:szCs w:val="32"/>
          <w:lang w:eastAsia="en-US"/>
        </w:rPr>
      </w:pPr>
    </w:p>
    <w:p>
      <w:pPr>
        <w:pStyle w:val="2"/>
        <w:shd w:val="clear"/>
        <w:rPr>
          <w:rFonts w:hint="default"/>
          <w:color w:val="auto"/>
          <w:sz w:val="32"/>
          <w:szCs w:val="32"/>
          <w:lang w:eastAsia="en-US"/>
        </w:rPr>
      </w:pPr>
    </w:p>
    <w:p>
      <w:pPr>
        <w:shd w:val="clear"/>
        <w:rPr>
          <w:rFonts w:hint="default"/>
          <w:color w:val="auto"/>
          <w:sz w:val="32"/>
          <w:szCs w:val="32"/>
          <w:lang w:eastAsia="en-US"/>
        </w:rPr>
      </w:pPr>
    </w:p>
    <w:p>
      <w:pPr>
        <w:pStyle w:val="2"/>
        <w:shd w:val="clear"/>
        <w:rPr>
          <w:rFonts w:hint="default"/>
          <w:color w:val="auto"/>
          <w:sz w:val="32"/>
          <w:szCs w:val="32"/>
          <w:lang w:eastAsia="en-US"/>
        </w:rPr>
      </w:pPr>
    </w:p>
    <w:p>
      <w:pPr>
        <w:shd w:val="clear"/>
        <w:rPr>
          <w:rFonts w:hint="default"/>
          <w:color w:val="auto"/>
          <w:sz w:val="32"/>
          <w:szCs w:val="32"/>
          <w:lang w:eastAsia="en-US"/>
        </w:rPr>
      </w:pPr>
    </w:p>
    <w:p>
      <w:pPr>
        <w:pStyle w:val="2"/>
        <w:shd w:val="clear"/>
        <w:rPr>
          <w:rFonts w:hint="default"/>
          <w:color w:val="auto"/>
          <w:sz w:val="32"/>
          <w:szCs w:val="32"/>
          <w:lang w:eastAsia="en-US"/>
        </w:rPr>
      </w:pPr>
    </w:p>
    <w:p>
      <w:pPr>
        <w:shd w:val="clear"/>
        <w:rPr>
          <w:rFonts w:hint="default"/>
          <w:color w:val="auto"/>
          <w:sz w:val="32"/>
          <w:szCs w:val="32"/>
          <w:lang w:eastAsia="en-US"/>
        </w:rPr>
      </w:pPr>
    </w:p>
    <w:p>
      <w:pPr>
        <w:pStyle w:val="2"/>
        <w:shd w:val="clear"/>
        <w:rPr>
          <w:rFonts w:hint="default"/>
          <w:color w:val="auto"/>
          <w:sz w:val="32"/>
          <w:szCs w:val="32"/>
          <w:lang w:eastAsia="en-US"/>
        </w:rPr>
      </w:pPr>
    </w:p>
    <w:p>
      <w:pPr>
        <w:shd w:val="clear"/>
        <w:rPr>
          <w:rFonts w:hint="default"/>
          <w:color w:val="auto"/>
          <w:sz w:val="32"/>
          <w:szCs w:val="32"/>
          <w:lang w:eastAsia="en-US"/>
        </w:rPr>
      </w:pPr>
    </w:p>
    <w:p>
      <w:pPr>
        <w:pStyle w:val="2"/>
        <w:shd w:val="clear"/>
        <w:rPr>
          <w:rFonts w:hint="default"/>
          <w:color w:val="auto"/>
          <w:sz w:val="32"/>
          <w:szCs w:val="32"/>
          <w:lang w:eastAsia="en-US"/>
        </w:rPr>
      </w:pPr>
    </w:p>
    <w:p>
      <w:pPr>
        <w:shd w:val="clear"/>
        <w:rPr>
          <w:rFonts w:hint="default"/>
          <w:color w:val="auto"/>
          <w:sz w:val="32"/>
          <w:szCs w:val="32"/>
          <w:lang w:eastAsia="en-US"/>
        </w:rPr>
      </w:pPr>
    </w:p>
    <w:p>
      <w:pPr>
        <w:pStyle w:val="2"/>
        <w:shd w:val="clear"/>
        <w:rPr>
          <w:rFonts w:hint="default"/>
          <w:color w:val="auto"/>
          <w:sz w:val="32"/>
          <w:szCs w:val="32"/>
          <w:lang w:eastAsia="en-US"/>
        </w:rPr>
      </w:pPr>
    </w:p>
    <w:p>
      <w:pPr>
        <w:shd w:val="clear"/>
        <w:rPr>
          <w:rFonts w:hint="default"/>
          <w:color w:val="auto"/>
          <w:sz w:val="32"/>
          <w:szCs w:val="32"/>
          <w:lang w:eastAsia="en-US"/>
        </w:rPr>
      </w:pPr>
    </w:p>
    <w:p>
      <w:pPr>
        <w:pStyle w:val="2"/>
        <w:shd w:val="clear"/>
        <w:rPr>
          <w:rFonts w:hint="default"/>
          <w:color w:val="auto"/>
          <w:sz w:val="32"/>
          <w:szCs w:val="32"/>
          <w:lang w:eastAsia="en-US"/>
        </w:rPr>
      </w:pPr>
    </w:p>
    <w:p>
      <w:pPr>
        <w:shd w:val="clear"/>
        <w:rPr>
          <w:rFonts w:hint="default"/>
          <w:color w:val="auto"/>
          <w:sz w:val="32"/>
          <w:szCs w:val="32"/>
          <w:lang w:eastAsia="en-US"/>
        </w:rPr>
      </w:pPr>
    </w:p>
    <w:p>
      <w:pPr>
        <w:pStyle w:val="2"/>
        <w:shd w:val="clear"/>
        <w:rPr>
          <w:rFonts w:hint="default"/>
          <w:color w:val="auto"/>
          <w:sz w:val="32"/>
          <w:szCs w:val="32"/>
          <w:lang w:eastAsia="en-US"/>
        </w:rPr>
      </w:pPr>
    </w:p>
    <w:p>
      <w:pPr>
        <w:shd w:val="clear"/>
        <w:rPr>
          <w:rFonts w:hint="default"/>
          <w:color w:val="auto"/>
          <w:lang w:eastAsia="en-US"/>
        </w:rPr>
      </w:pPr>
    </w:p>
    <w:p>
      <w:pPr>
        <w:shd w:val="clear"/>
        <w:rPr>
          <w:rFonts w:hint="default"/>
          <w:color w:val="auto"/>
          <w:lang w:eastAsia="en-US"/>
        </w:rPr>
      </w:pPr>
    </w:p>
    <w:p>
      <w:pPr>
        <w:shd w:val="clear"/>
        <w:rPr>
          <w:rFonts w:hint="default"/>
          <w:color w:val="auto"/>
          <w:sz w:val="32"/>
          <w:szCs w:val="32"/>
          <w:lang w:eastAsia="en-US"/>
        </w:rPr>
      </w:pPr>
    </w:p>
    <w:p>
      <w:pPr>
        <w:shd w:val="clear"/>
        <w:bidi w:val="0"/>
        <w:rPr>
          <w:rFonts w:hint="default"/>
          <w:color w:val="auto"/>
          <w:lang w:eastAsia="en-US"/>
        </w:rPr>
      </w:pPr>
    </w:p>
    <w:p>
      <w:pPr>
        <w:widowControl/>
        <w:shd w:val="clear"/>
        <w:spacing w:line="540" w:lineRule="exact"/>
        <w:ind w:right="210" w:rightChars="100" w:firstLine="140" w:firstLineChars="50"/>
        <w:rPr>
          <w:rFonts w:ascii="Times New Roman" w:hAnsi="Times New Roman" w:eastAsia="仿宋_GB2312" w:cs="Times New Roman"/>
          <w:color w:val="auto"/>
        </w:rPr>
      </w:pPr>
      <w:r>
        <w:rPr>
          <w:rFonts w:ascii="Times New Roman" w:hAnsi="Times New Roman" w:eastAsia="方正仿宋_GBK" w:cs="Times New Roman"/>
          <w:color w:val="auto"/>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50800</wp:posOffset>
                </wp:positionV>
                <wp:extent cx="562038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6203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4pt;height:0.05pt;width:442.55pt;z-index:251660288;mso-width-relative:page;mso-height-relative:page;" filled="f" stroked="t" coordsize="21600,21600" o:gfxdata="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1zLTdQAAAAGAQAADwAAAAAAAAABACAAAAAiAAAAZHJzL2Rvd25yZXYueG1sUEsB&#10;AhQAFAAAAAgAh07iQOljOtb5AQAA9AMAAA4AAAAAAAAAAQAgAAAAIwEAAGRycy9lMm9Eb2MueG1s&#10;UEsFBgAAAAAGAAYAWQEAAI4FAAAAAA==&#10;">
                <v:fill on="f" focussize="0,0"/>
                <v:stroke color="#000000" joinstyle="round"/>
                <v:imagedata o:title=""/>
                <o:lock v:ext="edit" aspectratio="f"/>
              </v:line>
            </w:pict>
          </mc:Fallback>
        </mc:AlternateContent>
      </w:r>
      <w:r>
        <w:rPr>
          <w:rFonts w:ascii="Times New Roman" w:hAnsi="Times New Roman" w:eastAsia="方正仿宋_GBK" w:cs="Times New Roman"/>
          <w:color w:val="auto"/>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368935</wp:posOffset>
                </wp:positionV>
                <wp:extent cx="562038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203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9.05pt;height:0.05pt;width:442.55pt;z-index:251659264;mso-width-relative:page;mso-height-relative:page;" filled="f" stroked="t" coordsize="21600,21600" o:gfxdata="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heGf1QAAAAcBAAAPAAAAAAAAAAEAIAAAACIAAABkcnMvZG93bnJldi54bWxQ&#10;SwECFAAUAAAACACHTuJA6RG2r/oBAAD0AwAADgAAAAAAAAABACAAAAAkAQAAZHJzL2Uyb0RvYy54&#10;bWxQSwUGAAAAAAYABgBZAQAAkAUAAAAA&#10;">
                <v:fill on="f" focussize="0,0"/>
                <v:stroke color="#000000" joinstyle="round"/>
                <v:imagedata o:title=""/>
                <o:lock v:ext="edit" aspectratio="f"/>
              </v:line>
            </w:pict>
          </mc:Fallback>
        </mc:AlternateConten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CN"/>
        </w:rPr>
        <w:t>襄垣县人民政府办公室</w:t>
      </w:r>
      <w:r>
        <w:rPr>
          <w:rFonts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rPr>
        <w:t>11</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24</w:t>
      </w:r>
      <w:r>
        <w:rPr>
          <w:rFonts w:ascii="Times New Roman" w:hAnsi="Times New Roman" w:eastAsia="仿宋_GB2312" w:cs="Times New Roman"/>
          <w:color w:val="auto"/>
          <w:sz w:val="28"/>
          <w:szCs w:val="28"/>
        </w:rPr>
        <w:t>日印发</w:t>
      </w:r>
    </w:p>
    <w:sectPr>
      <w:footerReference r:id="rId3" w:type="default"/>
      <w:pgSz w:w="11900" w:h="16838"/>
      <w:pgMar w:top="2098" w:right="1531" w:bottom="1984" w:left="1531" w:header="0" w:footer="1587" w:gutter="0"/>
      <w:pgBorders>
        <w:top w:val="none" w:sz="0" w:space="0"/>
        <w:left w:val="none" w:sz="0" w:space="0"/>
        <w:bottom w:val="none" w:sz="0" w:space="0"/>
        <w:right w:val="none" w:sz="0" w:space="0"/>
      </w:pgBorders>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宋体_x0011_..哟..">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left="315" w:leftChars="150" w:right="315" w:rightChars="15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61312;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z8DRzgCAABv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DtbV&#10;+6p7gCm0LGz01vKYJkrl7fIQIG1SPArUqYJOxQPmMPXssjNx0P88p6in/4nF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M6qlLSAAAABgEAAA8AAAAAAAAAAQAgAAAAIgAAAGRycy9kb3ducmV2Lnht&#10;bFBLAQIUABQAAAAIAIdO4kD/PwNHOAIAAG8EAAAOAAAAAAAAAAEAIAAAACEBAABkcnMvZTJvRG9j&#10;LnhtbFBLBQYAAAAABgAGAFkBAADLBQAAAAA=&#10;">
              <v:fill on="f" focussize="0,0"/>
              <v:stroke on="f" weight="0.5pt"/>
              <v:imagedata o:title=""/>
              <o:lock v:ext="edit" aspectratio="f"/>
              <v:textbox inset="0mm,0mm,0mm,0mm" style="mso-fit-shape-to-text:t;">
                <w:txbxContent>
                  <w:p>
                    <w:pPr>
                      <w:pStyle w:val="5"/>
                      <w:ind w:left="315" w:leftChars="150" w:right="315" w:rightChars="15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41750"/>
    <w:rsid w:val="00023FAE"/>
    <w:rsid w:val="00035B53"/>
    <w:rsid w:val="0004719A"/>
    <w:rsid w:val="00050FDD"/>
    <w:rsid w:val="000753B0"/>
    <w:rsid w:val="00093643"/>
    <w:rsid w:val="000F0443"/>
    <w:rsid w:val="00114F35"/>
    <w:rsid w:val="001A40CB"/>
    <w:rsid w:val="00200DCC"/>
    <w:rsid w:val="002459BA"/>
    <w:rsid w:val="00245A69"/>
    <w:rsid w:val="00253493"/>
    <w:rsid w:val="002A33D2"/>
    <w:rsid w:val="002B30DA"/>
    <w:rsid w:val="002C48E6"/>
    <w:rsid w:val="002C7FAE"/>
    <w:rsid w:val="002D0CF7"/>
    <w:rsid w:val="002F0F24"/>
    <w:rsid w:val="00300178"/>
    <w:rsid w:val="0030723E"/>
    <w:rsid w:val="003209FB"/>
    <w:rsid w:val="00320CEE"/>
    <w:rsid w:val="00340BE6"/>
    <w:rsid w:val="00355353"/>
    <w:rsid w:val="003A0208"/>
    <w:rsid w:val="003B680A"/>
    <w:rsid w:val="003C3834"/>
    <w:rsid w:val="00404D81"/>
    <w:rsid w:val="00414576"/>
    <w:rsid w:val="004151FC"/>
    <w:rsid w:val="00421B39"/>
    <w:rsid w:val="00436342"/>
    <w:rsid w:val="00451996"/>
    <w:rsid w:val="004645C5"/>
    <w:rsid w:val="0047790E"/>
    <w:rsid w:val="00484BE6"/>
    <w:rsid w:val="004A01F2"/>
    <w:rsid w:val="004A1AE4"/>
    <w:rsid w:val="004E3A8B"/>
    <w:rsid w:val="004E6DFD"/>
    <w:rsid w:val="005073B0"/>
    <w:rsid w:val="00521F81"/>
    <w:rsid w:val="00522479"/>
    <w:rsid w:val="00524CF6"/>
    <w:rsid w:val="00540BEE"/>
    <w:rsid w:val="0054258E"/>
    <w:rsid w:val="00552F13"/>
    <w:rsid w:val="005622E0"/>
    <w:rsid w:val="00580583"/>
    <w:rsid w:val="005A46E6"/>
    <w:rsid w:val="005A4CEE"/>
    <w:rsid w:val="005B16C5"/>
    <w:rsid w:val="005C5276"/>
    <w:rsid w:val="005C70FB"/>
    <w:rsid w:val="00615911"/>
    <w:rsid w:val="0062723E"/>
    <w:rsid w:val="00646D9B"/>
    <w:rsid w:val="00664004"/>
    <w:rsid w:val="00685A24"/>
    <w:rsid w:val="00697CA4"/>
    <w:rsid w:val="00724C6E"/>
    <w:rsid w:val="00726046"/>
    <w:rsid w:val="00751DC7"/>
    <w:rsid w:val="00775E16"/>
    <w:rsid w:val="00782235"/>
    <w:rsid w:val="007A1762"/>
    <w:rsid w:val="007A523B"/>
    <w:rsid w:val="007D149F"/>
    <w:rsid w:val="007E7457"/>
    <w:rsid w:val="0081792F"/>
    <w:rsid w:val="008305B3"/>
    <w:rsid w:val="0083188D"/>
    <w:rsid w:val="008349C5"/>
    <w:rsid w:val="00836CA6"/>
    <w:rsid w:val="008602A0"/>
    <w:rsid w:val="0087027D"/>
    <w:rsid w:val="00873A39"/>
    <w:rsid w:val="008B39E4"/>
    <w:rsid w:val="008C4AD1"/>
    <w:rsid w:val="0096475A"/>
    <w:rsid w:val="009B047E"/>
    <w:rsid w:val="009C6110"/>
    <w:rsid w:val="009C798C"/>
    <w:rsid w:val="00A0304C"/>
    <w:rsid w:val="00A218C8"/>
    <w:rsid w:val="00A3721F"/>
    <w:rsid w:val="00A440D7"/>
    <w:rsid w:val="00A44912"/>
    <w:rsid w:val="00A61FB6"/>
    <w:rsid w:val="00A87CFE"/>
    <w:rsid w:val="00A97E25"/>
    <w:rsid w:val="00AC2D4F"/>
    <w:rsid w:val="00B25D50"/>
    <w:rsid w:val="00B26EA2"/>
    <w:rsid w:val="00B5421B"/>
    <w:rsid w:val="00B777E4"/>
    <w:rsid w:val="00BA4ED4"/>
    <w:rsid w:val="00BC32B6"/>
    <w:rsid w:val="00BD46B1"/>
    <w:rsid w:val="00C51F0F"/>
    <w:rsid w:val="00C83251"/>
    <w:rsid w:val="00CD3806"/>
    <w:rsid w:val="00CE4AAA"/>
    <w:rsid w:val="00CE7902"/>
    <w:rsid w:val="00D201A4"/>
    <w:rsid w:val="00D325A5"/>
    <w:rsid w:val="00D43F6E"/>
    <w:rsid w:val="00D64B2B"/>
    <w:rsid w:val="00D726E1"/>
    <w:rsid w:val="00D86776"/>
    <w:rsid w:val="00D909FF"/>
    <w:rsid w:val="00D96AE1"/>
    <w:rsid w:val="00DE2949"/>
    <w:rsid w:val="00E10546"/>
    <w:rsid w:val="00E123D0"/>
    <w:rsid w:val="00E20E96"/>
    <w:rsid w:val="00E240B0"/>
    <w:rsid w:val="00E439E9"/>
    <w:rsid w:val="00EB13D4"/>
    <w:rsid w:val="00EC08FF"/>
    <w:rsid w:val="00F60BA1"/>
    <w:rsid w:val="00F82388"/>
    <w:rsid w:val="01827803"/>
    <w:rsid w:val="03310C94"/>
    <w:rsid w:val="05793739"/>
    <w:rsid w:val="070058F1"/>
    <w:rsid w:val="0AE31559"/>
    <w:rsid w:val="168660D3"/>
    <w:rsid w:val="17C4507B"/>
    <w:rsid w:val="1A8A706A"/>
    <w:rsid w:val="1AB26BA6"/>
    <w:rsid w:val="1DDE42FE"/>
    <w:rsid w:val="1E191876"/>
    <w:rsid w:val="205E62E4"/>
    <w:rsid w:val="230944DF"/>
    <w:rsid w:val="23362DE0"/>
    <w:rsid w:val="23E41750"/>
    <w:rsid w:val="25DA7E69"/>
    <w:rsid w:val="2B9654DF"/>
    <w:rsid w:val="2C2F6C5B"/>
    <w:rsid w:val="2C843DD7"/>
    <w:rsid w:val="2CA6052D"/>
    <w:rsid w:val="31F857DA"/>
    <w:rsid w:val="33C75937"/>
    <w:rsid w:val="35800176"/>
    <w:rsid w:val="399A47F7"/>
    <w:rsid w:val="39C8724F"/>
    <w:rsid w:val="3A6833A3"/>
    <w:rsid w:val="3BA62BFB"/>
    <w:rsid w:val="41C23418"/>
    <w:rsid w:val="476D1C3D"/>
    <w:rsid w:val="483005FB"/>
    <w:rsid w:val="4BBE0516"/>
    <w:rsid w:val="4E51352C"/>
    <w:rsid w:val="4E527446"/>
    <w:rsid w:val="51A556B5"/>
    <w:rsid w:val="53824AAE"/>
    <w:rsid w:val="5B821587"/>
    <w:rsid w:val="60DE4373"/>
    <w:rsid w:val="60F962AE"/>
    <w:rsid w:val="61D7382B"/>
    <w:rsid w:val="666D743B"/>
    <w:rsid w:val="6AED6522"/>
    <w:rsid w:val="6F26201E"/>
    <w:rsid w:val="717C533E"/>
    <w:rsid w:val="7917191C"/>
    <w:rsid w:val="7AAA0A2B"/>
    <w:rsid w:val="7ABF7A34"/>
    <w:rsid w:val="7D315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tabs>
        <w:tab w:val="right" w:pos="8490"/>
      </w:tabs>
      <w:spacing w:beforeAutospacing="1" w:afterAutospacing="1"/>
      <w:jc w:val="left"/>
    </w:pPr>
    <w:rPr>
      <w:rFonts w:hint="eastAsia" w:ascii="宋体" w:hAnsi="宋体" w:eastAsia="宋体" w:cs="Times New Roman"/>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tabs>
        <w:tab w:val="right" w:pos="8490"/>
      </w:tabs>
      <w:jc w:val="center"/>
      <w:outlineLvl w:val="0"/>
    </w:pPr>
    <w:rPr>
      <w:rFonts w:ascii="Arial" w:hAnsi="Arial"/>
      <w:b/>
      <w:bCs/>
    </w:r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next w:val="9"/>
    <w:qFormat/>
    <w:uiPriority w:val="0"/>
    <w:pPr>
      <w:ind w:firstLine="420" w:firstLineChars="200"/>
    </w:pPr>
  </w:style>
  <w:style w:type="paragraph" w:customStyle="1" w:styleId="9">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paragraph" w:customStyle="1" w:styleId="12">
    <w:name w:val="Body text|1"/>
    <w:basedOn w:val="1"/>
    <w:qFormat/>
    <w:uiPriority w:val="0"/>
    <w:pPr>
      <w:spacing w:line="42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6307</Words>
  <Characters>6485</Characters>
  <Lines>54</Lines>
  <Paragraphs>15</Paragraphs>
  <TotalTime>12</TotalTime>
  <ScaleCrop>false</ScaleCrop>
  <LinksUpToDate>false</LinksUpToDate>
  <CharactersWithSpaces>6523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2021-08-05T01:05:00Z</dcterms:created>
  <dc:creator>未来可期</dc:creator>
  <cp:lastModifiedBy>拥你入怀</cp:lastModifiedBy>
  <cp:lastPrinted>2021-11-29T09:00:00Z</cp:lastPrinted>
  <dcterms:modified xsi:type="dcterms:W3CDTF">2021-11-30T06:46:46Z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8A8669E55B254E838A9B2C75D0839698</vt:lpwstr>
  </property>
</Properties>
</file>