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10" w:lineRule="exact"/>
        <w:ind w:firstLine="560" w:firstLineChars="200"/>
        <w:textAlignment w:val="auto"/>
        <w:rPr>
          <w:rFonts w:eastAsia="仿宋_GB2312"/>
          <w:sz w:val="28"/>
        </w:rPr>
      </w:pPr>
      <w:bookmarkStart w:id="0" w:name="_GoBack"/>
      <w:bookmarkEnd w:id="0"/>
    </w:p>
    <w:p>
      <w:pPr>
        <w:keepNext w:val="0"/>
        <w:keepLines w:val="0"/>
        <w:pageBreakBefore w:val="0"/>
        <w:widowControl w:val="0"/>
        <w:kinsoku/>
        <w:wordWrap/>
        <w:overflowPunct/>
        <w:topLinePunct w:val="0"/>
        <w:autoSpaceDE/>
        <w:autoSpaceDN/>
        <w:bidi w:val="0"/>
        <w:adjustRightInd/>
        <w:snapToGrid/>
        <w:spacing w:before="62" w:after="62" w:line="610" w:lineRule="exact"/>
        <w:ind w:firstLine="560" w:firstLineChars="200"/>
        <w:textAlignment w:val="auto"/>
        <w:rPr>
          <w:rFonts w:eastAsia="仿宋_GB2312"/>
          <w:sz w:val="28"/>
        </w:rPr>
      </w:pPr>
    </w:p>
    <w:p>
      <w:pPr>
        <w:keepNext w:val="0"/>
        <w:keepLines w:val="0"/>
        <w:pageBreakBefore w:val="0"/>
        <w:widowControl w:val="0"/>
        <w:kinsoku/>
        <w:wordWrap/>
        <w:overflowPunct/>
        <w:topLinePunct w:val="0"/>
        <w:autoSpaceDE/>
        <w:autoSpaceDN/>
        <w:bidi w:val="0"/>
        <w:adjustRightInd/>
        <w:snapToGrid/>
        <w:spacing w:line="610" w:lineRule="exact"/>
        <w:ind w:firstLine="960" w:firstLineChars="200"/>
        <w:textAlignment w:val="auto"/>
        <w:rPr>
          <w:rFonts w:eastAsia="黑体"/>
          <w:sz w:val="48"/>
        </w:rPr>
      </w:pPr>
    </w:p>
    <w:p>
      <w:pPr>
        <w:keepNext w:val="0"/>
        <w:keepLines w:val="0"/>
        <w:pageBreakBefore w:val="0"/>
        <w:widowControl w:val="0"/>
        <w:kinsoku/>
        <w:wordWrap/>
        <w:overflowPunct/>
        <w:topLinePunct w:val="0"/>
        <w:autoSpaceDE/>
        <w:autoSpaceDN/>
        <w:bidi w:val="0"/>
        <w:adjustRightInd/>
        <w:snapToGrid/>
        <w:spacing w:line="610" w:lineRule="exact"/>
        <w:ind w:firstLine="560" w:firstLineChars="200"/>
        <w:textAlignment w:val="auto"/>
        <w:rPr>
          <w:rFonts w:eastAsia="仿宋_GB2312"/>
          <w:sz w:val="28"/>
        </w:rPr>
      </w:pPr>
    </w:p>
    <w:p>
      <w:pPr>
        <w:keepNext w:val="0"/>
        <w:keepLines w:val="0"/>
        <w:pageBreakBefore w:val="0"/>
        <w:widowControl w:val="0"/>
        <w:kinsoku/>
        <w:wordWrap/>
        <w:overflowPunct/>
        <w:topLinePunct w:val="0"/>
        <w:autoSpaceDE/>
        <w:autoSpaceDN/>
        <w:bidi w:val="0"/>
        <w:adjustRightInd/>
        <w:snapToGrid/>
        <w:spacing w:line="610" w:lineRule="exact"/>
        <w:ind w:firstLine="560" w:firstLineChars="200"/>
        <w:textAlignment w:val="auto"/>
        <w:rPr>
          <w:rFonts w:eastAsia="仿宋_GB2312"/>
          <w:sz w:val="28"/>
        </w:rPr>
      </w:pPr>
    </w:p>
    <w:p>
      <w:pPr>
        <w:keepNext w:val="0"/>
        <w:keepLines w:val="0"/>
        <w:pageBreakBefore w:val="0"/>
        <w:widowControl w:val="0"/>
        <w:kinsoku/>
        <w:wordWrap/>
        <w:overflowPunct/>
        <w:topLinePunct w:val="0"/>
        <w:autoSpaceDE/>
        <w:autoSpaceDN/>
        <w:bidi w:val="0"/>
        <w:adjustRightInd/>
        <w:snapToGrid/>
        <w:spacing w:before="62" w:after="62" w:line="610" w:lineRule="exact"/>
        <w:ind w:firstLine="560" w:firstLineChars="200"/>
        <w:textAlignment w:val="auto"/>
        <w:rPr>
          <w:rFonts w:eastAsia="仿宋_GB2312"/>
          <w:sz w:val="28"/>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sz w:val="44"/>
          <w:szCs w:val="44"/>
          <w:lang w:val="en-US" w:eastAsia="zh-CN"/>
        </w:rPr>
      </w:pPr>
      <w:r>
        <w:rPr>
          <w:rFonts w:hint="eastAsia" w:ascii="仿宋_GB2312" w:hAnsi="仿宋_GB2312" w:eastAsia="仿宋_GB2312" w:cs="仿宋_GB2312"/>
          <w:sz w:val="32"/>
          <w:szCs w:val="32"/>
          <w:lang w:eastAsia="zh-CN"/>
        </w:rPr>
        <w:t>襄优商办发</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号</w:t>
      </w:r>
    </w:p>
    <w:p>
      <w:pPr>
        <w:keepNext w:val="0"/>
        <w:keepLines w:val="0"/>
        <w:pageBreakBefore w:val="0"/>
        <w:widowControl/>
        <w:kinsoku/>
        <w:wordWrap/>
        <w:overflowPunct/>
        <w:topLinePunct w:val="0"/>
        <w:autoSpaceDE/>
        <w:autoSpaceDN/>
        <w:bidi w:val="0"/>
        <w:adjustRightInd/>
        <w:snapToGrid/>
        <w:spacing w:line="600" w:lineRule="exact"/>
        <w:ind w:left="0" w:leftChars="0" w:firstLine="880" w:firstLineChars="200"/>
        <w:jc w:val="both"/>
        <w:textAlignment w:val="baseline"/>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关于印发《襄垣县</w:t>
      </w:r>
      <w:r>
        <w:rPr>
          <w:rFonts w:hint="eastAsia" w:ascii="方正小标宋简体" w:hAnsi="方正小标宋简体" w:eastAsia="方正小标宋简体" w:cs="方正小标宋简体"/>
          <w:sz w:val="44"/>
          <w:szCs w:val="44"/>
        </w:rPr>
        <w:t>优化营商环境协同联动</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工作机制</w:t>
      </w:r>
      <w:r>
        <w:rPr>
          <w:rFonts w:hint="eastAsia" w:ascii="方正小标宋简体" w:hAnsi="方正小标宋简体" w:eastAsia="方正小标宋简体" w:cs="方正小标宋简体"/>
          <w:sz w:val="44"/>
          <w:szCs w:val="44"/>
          <w:lang w:val="en-US" w:eastAsia="zh-CN"/>
        </w:rPr>
        <w:t>》的通知</w:t>
      </w:r>
    </w:p>
    <w:p>
      <w:pPr>
        <w:keepNext w:val="0"/>
        <w:keepLines w:val="0"/>
        <w:pageBreakBefore w:val="0"/>
        <w:widowControl w:val="0"/>
        <w:kinsoku/>
        <w:wordWrap/>
        <w:overflowPunct/>
        <w:topLinePunct w:val="0"/>
        <w:autoSpaceDE/>
        <w:autoSpaceDN/>
        <w:bidi w:val="0"/>
        <w:adjustRightInd/>
        <w:snapToGrid/>
        <w:spacing w:before="313" w:beforeLines="100" w:line="576" w:lineRule="exact"/>
        <w:ind w:left="0" w:leftChars="0" w:firstLine="0" w:firstLineChars="0"/>
        <w:jc w:val="both"/>
        <w:textAlignment w:val="auto"/>
        <w:rPr>
          <w:rFonts w:hint="eastAsia" w:ascii="仿宋_GB2312" w:hAnsi="仿宋_GB2312" w:eastAsia="仿宋_GB2312" w:cs="仿宋_GB2312"/>
          <w:sz w:val="32"/>
          <w:szCs w:val="32"/>
        </w:rPr>
      </w:pPr>
      <w:r>
        <w:rPr>
          <w:rFonts w:hint="eastAsia" w:ascii="Times New Roman" w:hAnsi="Times New Roman" w:eastAsia="仿宋_GB2312" w:cs="仿宋_GB2312"/>
          <w:sz w:val="32"/>
          <w:szCs w:val="32"/>
        </w:rPr>
        <w:t>县直各有关单位</w:t>
      </w:r>
      <w:r>
        <w:rPr>
          <w:rFonts w:hint="eastAsia" w:ascii="仿宋_GB2312" w:hAnsi="仿宋_GB2312" w:eastAsia="仿宋_GB2312" w:cs="仿宋_GB2312"/>
          <w:sz w:val="32"/>
          <w:szCs w:val="32"/>
        </w:rPr>
        <w:t>：</w:t>
      </w:r>
    </w:p>
    <w:p>
      <w:pPr>
        <w:pStyle w:val="5"/>
        <w:keepNext w:val="0"/>
        <w:keepLines w:val="0"/>
        <w:pageBreakBefore w:val="0"/>
        <w:kinsoku/>
        <w:wordWrap/>
        <w:overflowPunct/>
        <w:topLinePunct w:val="0"/>
        <w:bidi w:val="0"/>
        <w:snapToGrid/>
        <w:spacing w:line="576"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现将《襄垣县优化营商环境协同联动工作机制》印发给你们，请认真贯彻执行。</w:t>
      </w:r>
    </w:p>
    <w:p>
      <w:pPr>
        <w:pStyle w:val="6"/>
        <w:keepNext w:val="0"/>
        <w:keepLines w:val="0"/>
        <w:pageBreakBefore w:val="0"/>
        <w:kinsoku/>
        <w:wordWrap/>
        <w:overflowPunct/>
        <w:topLinePunct w:val="0"/>
        <w:bidi w:val="0"/>
        <w:snapToGrid/>
        <w:spacing w:line="576" w:lineRule="exact"/>
        <w:rPr>
          <w:rFonts w:hint="eastAsia" w:ascii="仿宋_GB2312" w:hAnsi="仿宋_GB2312" w:eastAsia="仿宋_GB2312" w:cs="仿宋_GB2312"/>
          <w:sz w:val="32"/>
          <w:szCs w:val="32"/>
          <w:lang w:val="en-US" w:eastAsia="zh-CN"/>
        </w:rPr>
      </w:pPr>
    </w:p>
    <w:p>
      <w:pPr>
        <w:pStyle w:val="5"/>
        <w:keepNext w:val="0"/>
        <w:keepLines w:val="0"/>
        <w:pageBreakBefore w:val="0"/>
        <w:widowControl/>
        <w:kinsoku/>
        <w:wordWrap/>
        <w:overflowPunct/>
        <w:topLinePunct w:val="0"/>
        <w:autoSpaceDE/>
        <w:autoSpaceDN/>
        <w:bidi w:val="0"/>
        <w:adjustRightInd/>
        <w:snapToGrid/>
        <w:spacing w:before="313" w:beforeLines="100" w:line="576" w:lineRule="exact"/>
        <w:ind w:firstLine="3520" w:firstLineChars="11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襄垣县优化营商环境领导组办公室</w:t>
      </w:r>
    </w:p>
    <w:p>
      <w:pPr>
        <w:pStyle w:val="6"/>
        <w:keepNext w:val="0"/>
        <w:keepLines w:val="0"/>
        <w:pageBreakBefore w:val="0"/>
        <w:kinsoku/>
        <w:wordWrap/>
        <w:overflowPunct/>
        <w:topLinePunct w:val="0"/>
        <w:bidi w:val="0"/>
        <w:snapToGrid/>
        <w:spacing w:line="576" w:lineRule="exact"/>
        <w:ind w:firstLine="4800" w:firstLineChars="1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2023年7月25日</w:t>
      </w:r>
    </w:p>
    <w:p>
      <w:pPr>
        <w:pStyle w:val="6"/>
        <w:ind w:firstLine="4800" w:firstLineChars="1500"/>
        <w:rPr>
          <w:rFonts w:hint="eastAsia" w:ascii="仿宋_GB2312" w:hAnsi="仿宋_GB2312" w:eastAsia="仿宋_GB2312" w:cs="仿宋_GB2312"/>
          <w:sz w:val="32"/>
          <w:szCs w:val="32"/>
          <w:lang w:val="en-US" w:eastAsia="zh-CN"/>
        </w:rPr>
      </w:pPr>
    </w:p>
    <w:p>
      <w:pPr>
        <w:pStyle w:val="6"/>
        <w:ind w:firstLine="4800" w:firstLineChars="1500"/>
        <w:rPr>
          <w:rFonts w:hint="eastAsia" w:ascii="仿宋_GB2312" w:hAnsi="仿宋_GB2312" w:eastAsia="仿宋_GB2312" w:cs="仿宋_GB2312"/>
          <w:sz w:val="32"/>
          <w:szCs w:val="32"/>
          <w:lang w:val="en-US" w:eastAsia="zh-CN"/>
        </w:rPr>
      </w:pPr>
    </w:p>
    <w:p>
      <w:pPr>
        <w:pStyle w:val="6"/>
        <w:ind w:firstLine="4800" w:firstLineChars="1500"/>
        <w:rPr>
          <w:rFonts w:hint="eastAsia" w:ascii="仿宋_GB2312" w:hAnsi="仿宋_GB2312" w:eastAsia="仿宋_GB2312" w:cs="仿宋_GB2312"/>
          <w:sz w:val="32"/>
          <w:szCs w:val="32"/>
          <w:lang w:val="en-US" w:eastAsia="zh-CN"/>
        </w:rPr>
      </w:pPr>
    </w:p>
    <w:p>
      <w:pPr>
        <w:pStyle w:val="6"/>
        <w:ind w:firstLine="4800" w:firstLineChars="1500"/>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sectPr>
          <w:footerReference r:id="rId5" w:type="default"/>
          <w:pgSz w:w="11906" w:h="16838"/>
          <w:pgMar w:top="2098" w:right="1474" w:bottom="1984" w:left="1587" w:header="851" w:footer="1587" w:gutter="0"/>
          <w:pgNumType w:fmt="numberInDash" w:start="1"/>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襄垣县</w:t>
      </w:r>
      <w:r>
        <w:rPr>
          <w:rFonts w:hint="eastAsia" w:ascii="方正小标宋简体" w:hAnsi="方正小标宋简体" w:eastAsia="方正小标宋简体" w:cs="方正小标宋简体"/>
          <w:sz w:val="44"/>
          <w:szCs w:val="44"/>
        </w:rPr>
        <w:t>优化营商环境协同联动工作机制</w:t>
      </w:r>
    </w:p>
    <w:p>
      <w:pPr>
        <w:keepNext w:val="0"/>
        <w:keepLines w:val="0"/>
        <w:pageBreakBefore w:val="0"/>
        <w:widowControl w:val="0"/>
        <w:kinsoku/>
        <w:wordWrap/>
        <w:overflowPunct/>
        <w:topLinePunct w:val="0"/>
        <w:autoSpaceDE/>
        <w:autoSpaceDN/>
        <w:bidi w:val="0"/>
        <w:adjustRightInd/>
        <w:snapToGrid/>
        <w:spacing w:before="313" w:beforeLines="100"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为加快打造“三无”“三可”一流营商环境，持续有效激发市场主体活力和创造力，全方位推动高质量发展，</w:t>
      </w:r>
      <w:r>
        <w:rPr>
          <w:rFonts w:hint="eastAsia" w:ascii="仿宋_GB2312" w:hAnsi="仿宋_GB2312" w:eastAsia="仿宋_GB2312" w:cs="仿宋_GB2312"/>
          <w:sz w:val="32"/>
          <w:szCs w:val="32"/>
          <w:lang w:val="en-US" w:eastAsia="zh-CN"/>
        </w:rPr>
        <w:t>按照省市相关要求，</w:t>
      </w:r>
      <w:r>
        <w:rPr>
          <w:rFonts w:hint="eastAsia" w:ascii="仿宋_GB2312" w:hAnsi="仿宋_GB2312" w:eastAsia="仿宋_GB2312" w:cs="仿宋_GB2312"/>
          <w:sz w:val="32"/>
          <w:szCs w:val="32"/>
        </w:rPr>
        <w:t>结合我</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工作实际，特制定优化营商环境协同联动工作机制。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一、工作目标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充分发挥营商环境十八项指标牵头单位的职能优势，建立分工明确、责任明晰、</w:t>
      </w:r>
      <w:r>
        <w:rPr>
          <w:rFonts w:hint="eastAsia" w:ascii="仿宋_GB2312" w:hAnsi="仿宋_GB2312" w:eastAsia="仿宋_GB2312" w:cs="仿宋_GB2312"/>
          <w:sz w:val="32"/>
          <w:szCs w:val="32"/>
          <w:lang w:val="en-US" w:eastAsia="zh-CN"/>
        </w:rPr>
        <w:t>齐</w:t>
      </w:r>
      <w:r>
        <w:rPr>
          <w:rFonts w:hint="eastAsia" w:ascii="仿宋_GB2312" w:hAnsi="仿宋_GB2312" w:eastAsia="仿宋_GB2312" w:cs="仿宋_GB2312"/>
          <w:sz w:val="32"/>
          <w:szCs w:val="32"/>
        </w:rPr>
        <w:t>抓共管、互相配合的协同联动工作机制，形成推进优化营商环境工作的整体合力，力争各项营商环境评价指标位居全省第一方阵，为实现我</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营商环境水平</w:t>
      </w:r>
      <w:r>
        <w:rPr>
          <w:rFonts w:hint="eastAsia" w:ascii="仿宋_GB2312" w:hAnsi="仿宋_GB2312" w:eastAsia="仿宋_GB2312" w:cs="仿宋_GB2312"/>
          <w:sz w:val="32"/>
          <w:szCs w:val="32"/>
          <w:lang w:val="en-US" w:eastAsia="zh-CN"/>
        </w:rPr>
        <w:t>跻身</w:t>
      </w:r>
      <w:r>
        <w:rPr>
          <w:rFonts w:hint="eastAsia" w:ascii="仿宋_GB2312" w:hAnsi="仿宋_GB2312" w:eastAsia="仿宋_GB2312" w:cs="仿宋_GB2312"/>
          <w:sz w:val="32"/>
          <w:szCs w:val="32"/>
        </w:rPr>
        <w:t>全省一流、全国先进提供有力支撑。</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二、任务分工</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（一）县行政审批服务管理局</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负责企业开办、办理建筑许可、政务服务指标及涉及领域的有关事项。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“企业开办”指标衡量在当地开办和正式运营一家从事一般性工业或商业活动的中小型有限责任公司的手续数量、</w:t>
      </w:r>
      <w:r>
        <w:rPr>
          <w:rFonts w:hint="eastAsia" w:ascii="仿宋_GB2312" w:hAnsi="仿宋_GB2312" w:eastAsia="仿宋_GB2312" w:cs="仿宋_GB2312"/>
          <w:sz w:val="32"/>
          <w:szCs w:val="32"/>
          <w:lang w:eastAsia="zh-CN"/>
        </w:rPr>
        <w:t>时间</w:t>
      </w:r>
      <w:r>
        <w:rPr>
          <w:rFonts w:hint="eastAsia" w:ascii="仿宋_GB2312" w:hAnsi="仿宋_GB2312" w:eastAsia="仿宋_GB2312" w:cs="仿宋_GB2312"/>
          <w:sz w:val="32"/>
          <w:szCs w:val="32"/>
        </w:rPr>
        <w:t>和成本，包含企业登记、印章刻制备案、初次申领发票。开办企业包含四个二级指标，分别为开办企业的流程、耗时、费用和便利度。</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“办理建筑许可”主要考察三个方面，一是衡量企业从拿到建设用地开始，到完成首次不动产登记截止，在整个申报过程中企业需要办理的手续(</w:t>
      </w:r>
      <w:r>
        <w:rPr>
          <w:rFonts w:hint="eastAsia" w:ascii="仿宋_GB2312" w:hAnsi="仿宋_GB2312" w:eastAsia="仿宋_GB2312" w:cs="仿宋_GB2312"/>
          <w:sz w:val="32"/>
          <w:szCs w:val="32"/>
          <w:lang w:val="en-US" w:eastAsia="zh-CN"/>
        </w:rPr>
        <w:t>环节</w:t>
      </w:r>
      <w:r>
        <w:rPr>
          <w:rFonts w:hint="eastAsia" w:ascii="仿宋_GB2312" w:hAnsi="仿宋_GB2312" w:eastAsia="仿宋_GB2312" w:cs="仿宋_GB2312"/>
          <w:sz w:val="32"/>
          <w:szCs w:val="32"/>
        </w:rPr>
        <w:t>)、耗时、耗费等</w:t>
      </w:r>
      <w:r>
        <w:rPr>
          <w:rFonts w:hint="eastAsia" w:ascii="仿宋_GB2312" w:hAnsi="仿宋_GB2312" w:eastAsia="仿宋_GB2312" w:cs="仿宋_GB2312"/>
          <w:sz w:val="32"/>
          <w:szCs w:val="32"/>
          <w:lang w:val="en-US" w:eastAsia="zh-CN"/>
        </w:rPr>
        <w:t>情况</w:t>
      </w:r>
      <w:r>
        <w:rPr>
          <w:rFonts w:hint="eastAsia" w:ascii="仿宋_GB2312" w:hAnsi="仿宋_GB2312" w:eastAsia="仿宋_GB2312" w:cs="仿宋_GB2312"/>
          <w:sz w:val="32"/>
          <w:szCs w:val="32"/>
        </w:rPr>
        <w:t>。二是考察被评估地区建筑规章对质量控制与安全机制、责任与保险制度、执业资格要求等方面的控制力度。三是考察服务模式和服务理念等方面的内容。办理建筑许可包含五个二级指标，分别为办理环节、</w:t>
      </w:r>
      <w:r>
        <w:rPr>
          <w:rFonts w:hint="eastAsia" w:ascii="仿宋_GB2312" w:hAnsi="仿宋_GB2312" w:eastAsia="仿宋_GB2312" w:cs="仿宋_GB2312"/>
          <w:sz w:val="32"/>
          <w:szCs w:val="32"/>
          <w:lang w:val="en-US" w:eastAsia="zh-CN"/>
        </w:rPr>
        <w:t>时间</w:t>
      </w:r>
      <w:r>
        <w:rPr>
          <w:rFonts w:hint="eastAsia" w:ascii="仿宋_GB2312" w:hAnsi="仿宋_GB2312" w:eastAsia="仿宋_GB2312" w:cs="仿宋_GB2312"/>
          <w:sz w:val="32"/>
          <w:szCs w:val="32"/>
        </w:rPr>
        <w:t>和成本</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建筑质量控制指数和便利度。</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“政务服务”指标衡量的是一个地区“互联网+政务服务”发展水平、审批服务</w:t>
      </w:r>
      <w:r>
        <w:rPr>
          <w:rFonts w:hint="eastAsia" w:ascii="仿宋_GB2312" w:hAnsi="仿宋_GB2312" w:eastAsia="仿宋_GB2312" w:cs="仿宋_GB2312"/>
          <w:sz w:val="32"/>
          <w:szCs w:val="32"/>
          <w:lang w:val="en-US" w:eastAsia="zh-CN"/>
        </w:rPr>
        <w:t>便民</w:t>
      </w:r>
      <w:r>
        <w:rPr>
          <w:rFonts w:hint="eastAsia" w:ascii="仿宋_GB2312" w:hAnsi="仿宋_GB2312" w:eastAsia="仿宋_GB2312" w:cs="仿宋_GB2312"/>
          <w:sz w:val="32"/>
          <w:szCs w:val="32"/>
        </w:rPr>
        <w:t>化工作推进情</w:t>
      </w:r>
      <w:r>
        <w:rPr>
          <w:rFonts w:hint="eastAsia" w:ascii="仿宋_GB2312" w:hAnsi="仿宋_GB2312" w:eastAsia="仿宋_GB2312" w:cs="仿宋_GB2312"/>
          <w:sz w:val="32"/>
          <w:szCs w:val="32"/>
          <w:lang w:eastAsia="zh-CN"/>
        </w:rPr>
        <w:t>况</w:t>
      </w:r>
      <w:r>
        <w:rPr>
          <w:rFonts w:hint="eastAsia" w:ascii="仿宋_GB2312" w:hAnsi="仿宋_GB2312" w:eastAsia="仿宋_GB2312" w:cs="仿宋_GB2312"/>
          <w:sz w:val="32"/>
          <w:szCs w:val="32"/>
        </w:rPr>
        <w:t>、“一网、一</w:t>
      </w:r>
      <w:r>
        <w:rPr>
          <w:rFonts w:hint="eastAsia" w:ascii="仿宋_GB2312" w:hAnsi="仿宋_GB2312" w:eastAsia="仿宋_GB2312" w:cs="仿宋_GB2312"/>
          <w:sz w:val="32"/>
          <w:szCs w:val="32"/>
          <w:lang w:val="en-US" w:eastAsia="zh-CN"/>
        </w:rPr>
        <w:t>门</w:t>
      </w:r>
      <w:r>
        <w:rPr>
          <w:rFonts w:hint="eastAsia" w:ascii="仿宋_GB2312" w:hAnsi="仿宋_GB2312" w:eastAsia="仿宋_GB2312" w:cs="仿宋_GB2312"/>
          <w:sz w:val="32"/>
          <w:szCs w:val="32"/>
        </w:rPr>
        <w:t>、一次”改革落实情况和一体化在线政务</w:t>
      </w:r>
      <w:r>
        <w:rPr>
          <w:rFonts w:hint="eastAsia" w:ascii="仿宋_GB2312" w:hAnsi="仿宋_GB2312" w:eastAsia="仿宋_GB2312" w:cs="仿宋_GB2312"/>
          <w:sz w:val="32"/>
          <w:szCs w:val="32"/>
          <w:lang w:eastAsia="zh-CN"/>
        </w:rPr>
        <w:t>服务平台</w:t>
      </w:r>
      <w:r>
        <w:rPr>
          <w:rFonts w:hint="eastAsia" w:ascii="仿宋_GB2312" w:hAnsi="仿宋_GB2312" w:eastAsia="仿宋_GB2312" w:cs="仿宋_GB2312"/>
          <w:sz w:val="32"/>
          <w:szCs w:val="32"/>
        </w:rPr>
        <w:t>建设应用等情况。政务服务包含四个二级指标，分别为网上政务服务能力、政务服务事项便利度、政务服务满意度和国家政务服务平台数据共享。</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（二）县能源局、县供电公司</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负责获得电力指标及涉及领域有关事项。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“获得电力”指标衡量一个企业首次接入永久性电力供应连接业务(业扩服务)的所有环节、时间以及成本等，即从用电报装申请开始到装表接电为止所需环节数量，与完成这些环节所需的时间、花费成本</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以及电费透明度等方面的情况。获得电力包含五个二级指标，分别是环节、</w:t>
      </w:r>
      <w:r>
        <w:rPr>
          <w:rFonts w:hint="eastAsia" w:ascii="仿宋_GB2312" w:hAnsi="仿宋_GB2312" w:eastAsia="仿宋_GB2312" w:cs="仿宋_GB2312"/>
          <w:sz w:val="32"/>
          <w:szCs w:val="32"/>
          <w:lang w:eastAsia="zh-CN"/>
        </w:rPr>
        <w:t>时间</w:t>
      </w:r>
      <w:r>
        <w:rPr>
          <w:rFonts w:hint="eastAsia" w:ascii="仿宋_GB2312" w:hAnsi="仿宋_GB2312" w:eastAsia="仿宋_GB2312" w:cs="仿宋_GB2312"/>
          <w:sz w:val="32"/>
          <w:szCs w:val="32"/>
        </w:rPr>
        <w:t>、成本、供电可靠性及电费透明度指数、用电报装便利度指数。</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val="0"/>
          <w:kern w:val="2"/>
          <w:sz w:val="32"/>
          <w:szCs w:val="32"/>
          <w:lang w:val="en-US" w:eastAsia="zh-CN" w:bidi="ar-SA"/>
        </w:rPr>
        <w:t>（三）县住建局</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负责获得用水用气指标及涉及领域有关事项。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“获得用水用气”指标衡量一个地区企业办理用水、用气接入的环境，自用户申请开始到装表验收需要涉及多少环节、经过</w:t>
      </w:r>
      <w:r>
        <w:rPr>
          <w:rFonts w:hint="eastAsia" w:ascii="仿宋_GB2312" w:hAnsi="仿宋_GB2312" w:eastAsia="仿宋_GB2312" w:cs="仿宋_GB2312"/>
          <w:sz w:val="32"/>
          <w:szCs w:val="32"/>
          <w:lang w:val="en-US" w:eastAsia="zh-CN"/>
        </w:rPr>
        <w:t>多长</w:t>
      </w:r>
      <w:r>
        <w:rPr>
          <w:rFonts w:hint="eastAsia" w:ascii="仿宋_GB2312" w:hAnsi="仿宋_GB2312" w:eastAsia="仿宋_GB2312" w:cs="仿宋_GB2312"/>
          <w:sz w:val="32"/>
          <w:szCs w:val="32"/>
        </w:rPr>
        <w:t>办理时间及耗费多少成本的情况。获得用水用气包含四个二级指标，分别为环节、时间、成本和用水用气价格。</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楷体_GB2312" w:hAnsi="楷体_GB2312" w:eastAsia="楷体_GB2312" w:cs="楷体_GB2312"/>
          <w:b w:val="0"/>
          <w:bCs w:val="0"/>
          <w:color w:val="FF0000"/>
          <w:sz w:val="32"/>
          <w:szCs w:val="32"/>
          <w:lang w:val="en-US" w:eastAsia="zh-CN"/>
        </w:rPr>
      </w:pPr>
      <w:r>
        <w:rPr>
          <w:rFonts w:hint="eastAsia" w:ascii="楷体_GB2312" w:hAnsi="楷体_GB2312" w:eastAsia="楷体_GB2312" w:cs="楷体_GB2312"/>
          <w:b w:val="0"/>
          <w:bCs w:val="0"/>
          <w:sz w:val="32"/>
          <w:szCs w:val="32"/>
          <w:lang w:val="en-US" w:eastAsia="zh-CN"/>
        </w:rPr>
        <w:t>（四）</w:t>
      </w:r>
      <w:r>
        <w:rPr>
          <w:rFonts w:hint="eastAsia" w:ascii="楷体_GB2312" w:hAnsi="楷体_GB2312" w:eastAsia="楷体_GB2312" w:cs="楷体_GB2312"/>
          <w:b w:val="0"/>
          <w:bCs w:val="0"/>
          <w:color w:val="auto"/>
          <w:sz w:val="32"/>
          <w:szCs w:val="32"/>
          <w:lang w:val="en-US" w:eastAsia="zh-CN"/>
        </w:rPr>
        <w:t>县自然资源局</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负责登记财产指标及涉及领域有关事项。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登记财产”指标衡量的是基于模拟案例下，买方从卖方购买一个财产(不动产)，并且把此财产的使用权从卖方转移到买方，使买方能使用此财产、把此财产作为贷款抵押、在必要的时候把此财产卖掉的所有手续，环节从房源核验开始，到缴税、提交登记申请、缴纳登记费，最终完成领取不动产权证截止。登记财产包含五个二级指标，分别是环节、时间、成本、土地管理水平指数及登记财产满意度。</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（五）县税务局</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负责纳税指标及涉及领域有关事项。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纳税”指标衡量的是基于模拟案例下，一家中型企业在某一特定年份内必须缴纳的各种税项和强制性派款，也衡量因纳税与支付派款以及进行税后合规而产生的行政负担。纳税包含四个二级指标，分别为纳税次数、纳税时间、总税收和缴费率以及报税后流程指数。</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（六）县商务中心</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负责跨境贸易指标及涉及领域有关事项。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“跨境贸易”指标衡量的是进口和出口货物物流过程的</w:t>
      </w:r>
      <w:r>
        <w:rPr>
          <w:rFonts w:hint="eastAsia" w:ascii="仿宋_GB2312" w:hAnsi="仿宋_GB2312" w:eastAsia="仿宋_GB2312" w:cs="仿宋_GB2312"/>
          <w:sz w:val="32"/>
          <w:szCs w:val="32"/>
          <w:lang w:eastAsia="zh-CN"/>
        </w:rPr>
        <w:t>时间</w:t>
      </w:r>
      <w:r>
        <w:rPr>
          <w:rFonts w:hint="eastAsia" w:ascii="仿宋_GB2312" w:hAnsi="仿宋_GB2312" w:eastAsia="仿宋_GB2312" w:cs="仿宋_GB2312"/>
          <w:sz w:val="32"/>
          <w:szCs w:val="32"/>
        </w:rPr>
        <w:t>和费用。跨境贸易包含九个二级指标，分别为出口边境审核耗时、出口边境审核费用、出口单证审核耗时、出口单证审核费用、进口边境审核耗时、进口边境审核费用、进口单证审核耗时、进口单证审核费用、跨境贸易便利度。</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（七）县政府办金融股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负责获得信贷指标及涉及领域有关事项。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“获得</w:t>
      </w:r>
      <w:r>
        <w:rPr>
          <w:rFonts w:hint="eastAsia" w:ascii="仿宋_GB2312" w:hAnsi="仿宋_GB2312" w:eastAsia="仿宋_GB2312" w:cs="仿宋_GB2312"/>
          <w:sz w:val="32"/>
          <w:szCs w:val="32"/>
          <w:lang w:val="en-US" w:eastAsia="zh-CN"/>
        </w:rPr>
        <w:t>信贷</w:t>
      </w:r>
      <w:r>
        <w:rPr>
          <w:rFonts w:hint="eastAsia" w:ascii="仿宋_GB2312" w:hAnsi="仿宋_GB2312" w:eastAsia="仿宋_GB2312" w:cs="仿宋_GB2312"/>
          <w:sz w:val="32"/>
          <w:szCs w:val="32"/>
        </w:rPr>
        <w:t>”指标衡量的是信贷法律制度监管，信贷信息质量、</w:t>
      </w:r>
      <w:r>
        <w:rPr>
          <w:rFonts w:hint="eastAsia" w:ascii="仿宋_GB2312" w:hAnsi="仿宋_GB2312" w:eastAsia="仿宋_GB2312" w:cs="仿宋_GB2312"/>
          <w:sz w:val="32"/>
          <w:szCs w:val="32"/>
          <w:lang w:val="en-US" w:eastAsia="zh-CN"/>
        </w:rPr>
        <w:t>披露</w:t>
      </w:r>
      <w:r>
        <w:rPr>
          <w:rFonts w:hint="eastAsia" w:ascii="仿宋_GB2312" w:hAnsi="仿宋_GB2312" w:eastAsia="仿宋_GB2312" w:cs="仿宋_GB2312"/>
          <w:sz w:val="32"/>
          <w:szCs w:val="32"/>
        </w:rPr>
        <w:t>、交换以及企业融资的相关</w:t>
      </w:r>
      <w:r>
        <w:rPr>
          <w:rFonts w:hint="eastAsia" w:ascii="仿宋_GB2312" w:hAnsi="仿宋_GB2312" w:eastAsia="仿宋_GB2312" w:cs="仿宋_GB2312"/>
          <w:sz w:val="32"/>
          <w:szCs w:val="32"/>
          <w:lang w:val="en-US" w:eastAsia="zh-CN"/>
        </w:rPr>
        <w:t>情况</w:t>
      </w:r>
      <w:r>
        <w:rPr>
          <w:rFonts w:hint="eastAsia" w:ascii="仿宋_GB2312" w:hAnsi="仿宋_GB2312" w:eastAsia="仿宋_GB2312" w:cs="仿宋_GB2312"/>
          <w:sz w:val="32"/>
          <w:szCs w:val="32"/>
        </w:rPr>
        <w:t>。获得</w:t>
      </w:r>
      <w:r>
        <w:rPr>
          <w:rFonts w:hint="eastAsia" w:ascii="仿宋_GB2312" w:hAnsi="仿宋_GB2312" w:eastAsia="仿宋_GB2312" w:cs="仿宋_GB2312"/>
          <w:sz w:val="32"/>
          <w:szCs w:val="32"/>
          <w:lang w:val="en-US" w:eastAsia="zh-CN"/>
        </w:rPr>
        <w:t>信贷</w:t>
      </w:r>
      <w:r>
        <w:rPr>
          <w:rFonts w:hint="eastAsia" w:ascii="仿宋_GB2312" w:hAnsi="仿宋_GB2312" w:eastAsia="仿宋_GB2312" w:cs="仿宋_GB2312"/>
          <w:sz w:val="32"/>
          <w:szCs w:val="32"/>
        </w:rPr>
        <w:t>包含四个二级指标，分别为合法权利度指数、信用信息深度指数、征信机构覆盖面以及企业融资便利度。</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（八）县法院</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负责办理破产、保护中小投资者、执行合同指标及涉及领域有关事项。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“办理破产”指标衡量的是企业破产程序的时间、成本和结果，以及适用于清算、重组程序的破产法律框架质量指数。办理破产包含四个二级指标，分别为收回债务所需的</w:t>
      </w:r>
      <w:r>
        <w:rPr>
          <w:rFonts w:hint="eastAsia" w:ascii="仿宋_GB2312" w:hAnsi="仿宋_GB2312" w:eastAsia="仿宋_GB2312" w:cs="仿宋_GB2312"/>
          <w:sz w:val="32"/>
          <w:szCs w:val="32"/>
          <w:lang w:eastAsia="zh-CN"/>
        </w:rPr>
        <w:t>时间</w:t>
      </w:r>
      <w:r>
        <w:rPr>
          <w:rFonts w:hint="eastAsia" w:ascii="仿宋_GB2312" w:hAnsi="仿宋_GB2312" w:eastAsia="仿宋_GB2312" w:cs="仿宋_GB2312"/>
          <w:sz w:val="32"/>
          <w:szCs w:val="32"/>
        </w:rPr>
        <w:t>、收回债务所需的成本、债权人回收率、破产法律框架质量指数。</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保护中小投资者”指标衡量的是在利益冲突的情况下少数持股者受到的保护，以及在公司治理结构中股份持有人的权利。保护中小投资者包含六个二级指标，分别为信息披露透明度指数、董事责任程度指数、诉讼便利度指数、股东权利指数、所有权和管理控制指数、公司透明度指数。</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“执行合同”指标衡量的是解决一起商业纠纷所耗费的</w:t>
      </w:r>
      <w:r>
        <w:rPr>
          <w:rFonts w:hint="eastAsia" w:ascii="仿宋_GB2312" w:hAnsi="仿宋_GB2312" w:eastAsia="仿宋_GB2312" w:cs="仿宋_GB2312"/>
          <w:sz w:val="32"/>
          <w:szCs w:val="32"/>
          <w:lang w:eastAsia="zh-CN"/>
        </w:rPr>
        <w:t>时间</w:t>
      </w:r>
      <w:r>
        <w:rPr>
          <w:rFonts w:hint="eastAsia" w:ascii="仿宋_GB2312" w:hAnsi="仿宋_GB2312" w:eastAsia="仿宋_GB2312" w:cs="仿宋_GB2312"/>
          <w:sz w:val="32"/>
          <w:szCs w:val="32"/>
        </w:rPr>
        <w:t>、成本和司法程序质量指数。执行合同包含三个二级指标，分别为解决商业纠纷的耗时、费用、司法程序质量指数。</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九</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县</w:t>
      </w:r>
      <w:r>
        <w:rPr>
          <w:rFonts w:hint="eastAsia" w:ascii="楷体_GB2312" w:hAnsi="楷体_GB2312" w:eastAsia="楷体_GB2312" w:cs="楷体_GB2312"/>
          <w:sz w:val="32"/>
          <w:szCs w:val="32"/>
        </w:rPr>
        <w:t>人社局</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负责劳动力市场监管指标及涉及领域有关事项。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劳动力市场监管”指标衡量劳动力市场中该地区执行劳动相关法律法规的合法合规度，目的是通过考察合法合规度提升劳动力市场的劳动力市场监管及工作质量。劳动力市场监管包含五个二级指标，分别是聘用情况、工作时间、裁员规定、裁员成本以及工作质量。</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十</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县</w:t>
      </w:r>
      <w:r>
        <w:rPr>
          <w:rFonts w:hint="eastAsia" w:ascii="楷体_GB2312" w:hAnsi="楷体_GB2312" w:eastAsia="楷体_GB2312" w:cs="楷体_GB2312"/>
          <w:sz w:val="32"/>
          <w:szCs w:val="32"/>
        </w:rPr>
        <w:t>财政局</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负责政府采购指标及涉及领域有关事项。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“政府采购”指标衡量的是在模拟案例条件下采购平台的建设情况、供应商进入采购市场的难易程度、采购流程规范性</w:t>
      </w:r>
      <w:r>
        <w:rPr>
          <w:rFonts w:hint="eastAsia" w:ascii="仿宋_GB2312" w:hAnsi="仿宋_GB2312" w:eastAsia="仿宋_GB2312" w:cs="仿宋_GB2312"/>
          <w:sz w:val="32"/>
          <w:szCs w:val="32"/>
          <w:lang w:val="en-US" w:eastAsia="zh-CN"/>
        </w:rPr>
        <w:t>情况</w:t>
      </w:r>
      <w:r>
        <w:rPr>
          <w:rFonts w:hint="eastAsia" w:ascii="仿宋_GB2312" w:hAnsi="仿宋_GB2312" w:eastAsia="仿宋_GB2312" w:cs="仿宋_GB2312"/>
          <w:sz w:val="32"/>
          <w:szCs w:val="32"/>
        </w:rPr>
        <w:t>，同时也衡量政府采购信息公开</w:t>
      </w:r>
      <w:r>
        <w:rPr>
          <w:rFonts w:hint="eastAsia" w:ascii="仿宋_GB2312" w:hAnsi="仿宋_GB2312" w:eastAsia="仿宋_GB2312" w:cs="仿宋_GB2312"/>
          <w:sz w:val="32"/>
          <w:szCs w:val="32"/>
          <w:lang w:val="en-US" w:eastAsia="zh-CN"/>
        </w:rPr>
        <w:t>情况</w:t>
      </w:r>
      <w:r>
        <w:rPr>
          <w:rFonts w:hint="eastAsia" w:ascii="仿宋_GB2312" w:hAnsi="仿宋_GB2312" w:eastAsia="仿宋_GB2312" w:cs="仿宋_GB2312"/>
          <w:sz w:val="32"/>
          <w:szCs w:val="32"/>
        </w:rPr>
        <w:t>。政府采购包含五个二级指标，分别为政府采购电子卖场和电子交易系统、采购流程、采购结果确定和合同签订、合同管理、支付和交付。</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十一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县发展改革和科学技术局</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负责招标投标、包容普惠创新指标及涉及领域有关事项。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标投标”指标衡量的是招投标流程规范性、企业进入招投标市场的难易程度、投诉机制等情况。招标投标包含四个二级指标，分别为互联网+招标投标、投标担保、外地企业中标率和建立公平有效的投诉机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“包容普惠创新”指标衡量的是创新创业活跃程度、市场开放程度、文化教育医疗基本公共服务、生态环境保护和交通便捷程度等</w:t>
      </w:r>
      <w:r>
        <w:rPr>
          <w:rFonts w:hint="eastAsia" w:ascii="仿宋_GB2312" w:hAnsi="仿宋_GB2312" w:eastAsia="仿宋_GB2312" w:cs="仿宋_GB2312"/>
          <w:sz w:val="32"/>
          <w:szCs w:val="32"/>
          <w:lang w:val="en-US" w:eastAsia="zh-CN"/>
        </w:rPr>
        <w:t>情况</w:t>
      </w:r>
      <w:r>
        <w:rPr>
          <w:rFonts w:hint="eastAsia" w:ascii="仿宋_GB2312" w:hAnsi="仿宋_GB2312" w:eastAsia="仿宋_GB2312" w:cs="仿宋_GB2312"/>
          <w:sz w:val="32"/>
          <w:szCs w:val="32"/>
        </w:rPr>
        <w:t>。“包容普惠创新”包含六个二级指标，分别为创新创业活跃度、人才流动便利度、市场开放度、基本公共服务群众满意度、蓝天碧水净土森林覆盖指数和综合立体交通指数。</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十二</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县</w:t>
      </w:r>
      <w:r>
        <w:rPr>
          <w:rFonts w:hint="eastAsia" w:ascii="楷体_GB2312" w:hAnsi="楷体_GB2312" w:eastAsia="楷体_GB2312" w:cs="楷体_GB2312"/>
          <w:sz w:val="32"/>
          <w:szCs w:val="32"/>
          <w:lang w:eastAsia="zh-CN"/>
        </w:rPr>
        <w:t>市场监督管理局</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负责知识产权创造保护和运用、市场监管指标及涉及领域有关事项。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知识产权创造、保护和运用”指标衡量的是知识产权创造质量、社会满意程度、转化效益等情况。知识产权创造、保护和运用包含四个二级指标，分别为知识产权创造质量、知识产权保护社会满意度、非诉纠纷解决机构覆盖面以及知识产权运用效益。</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场监管”指标考察的是监管领域相关事项的开展程度。市场监管包含五个二级指标，分别为“双随机、一公开”监管覆盖率、监管执法信息公开率、政务诚信度、商务诚信度及国家互联网+监管系统数据共享。</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三、工作要求</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）加强组织领导。</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优化营商环境领导组负责全</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营商环境工作的组织领导、督促落实、监督考核等，领导组办公室承担日常工作;各成员单位要不折不扣、高标准落实领导组以及领导组办公室</w:t>
      </w:r>
      <w:r>
        <w:rPr>
          <w:rFonts w:hint="eastAsia" w:ascii="仿宋_GB2312" w:hAnsi="仿宋_GB2312" w:eastAsia="仿宋_GB2312" w:cs="仿宋_GB2312"/>
          <w:sz w:val="32"/>
          <w:szCs w:val="32"/>
          <w:lang w:val="en-US" w:eastAsia="zh-CN"/>
        </w:rPr>
        <w:t>部署</w:t>
      </w:r>
      <w:r>
        <w:rPr>
          <w:rFonts w:hint="eastAsia" w:ascii="仿宋_GB2312" w:hAnsi="仿宋_GB2312" w:eastAsia="仿宋_GB2312" w:cs="仿宋_GB2312"/>
          <w:sz w:val="32"/>
          <w:szCs w:val="32"/>
        </w:rPr>
        <w:t>的各项工作任务，坚决杜绝出现推诿扯皮、敷衍塞责等现象;重大问题和事项及时向领导组办公室报告。各成员单位要将营商环境工作作为自身重要职责，主要负责同志亲自抓，明确营商环境分管负责人，将营商环境工作任务分解到班子成员，细化到具体科室，落实到具体责任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）强化会议统筹</w:t>
      </w:r>
      <w:r>
        <w:rPr>
          <w:rFonts w:hint="eastAsia" w:ascii="仿宋_GB2312" w:hAnsi="仿宋_GB2312" w:eastAsia="仿宋_GB2312" w:cs="仿宋_GB2312"/>
          <w:sz w:val="32"/>
          <w:szCs w:val="32"/>
        </w:rPr>
        <w:t>。形成优化营商环境联席会议机制，根据工作需要不定期召开会议，主要研究协调解决创新提升改革过程中遇到的重大问题。会议对报请协调解决的事项达成一致意</w:t>
      </w:r>
      <w:r>
        <w:rPr>
          <w:rFonts w:hint="eastAsia" w:ascii="仿宋_GB2312" w:hAnsi="仿宋_GB2312" w:eastAsia="仿宋_GB2312" w:cs="仿宋_GB2312"/>
          <w:sz w:val="32"/>
          <w:szCs w:val="32"/>
          <w:lang w:eastAsia="zh-CN"/>
        </w:rPr>
        <w:t>见</w:t>
      </w:r>
      <w:r>
        <w:rPr>
          <w:rFonts w:hint="eastAsia" w:ascii="仿宋_GB2312" w:hAnsi="仿宋_GB2312" w:eastAsia="仿宋_GB2312" w:cs="仿宋_GB2312"/>
          <w:sz w:val="32"/>
          <w:szCs w:val="32"/>
        </w:rPr>
        <w:t>的，应当形成会议纪要;尚不具备解决条件的，可待条件具备后另行提交审议，由领导组办公室跟踪督促落实。</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lang w:eastAsia="zh-CN"/>
        </w:rPr>
        <w:t>）加强信息沟通。</w:t>
      </w:r>
      <w:r>
        <w:rPr>
          <w:rFonts w:hint="eastAsia" w:ascii="仿宋_GB2312" w:hAnsi="仿宋_GB2312" w:eastAsia="仿宋_GB2312" w:cs="仿宋_GB2312"/>
          <w:sz w:val="32"/>
          <w:szCs w:val="32"/>
        </w:rPr>
        <w:t>各成员单位要指定专人加入全</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营商环境工作微信群，人员要相对固定，及时</w:t>
      </w:r>
      <w:r>
        <w:rPr>
          <w:rFonts w:hint="eastAsia" w:ascii="仿宋_GB2312" w:hAnsi="仿宋_GB2312" w:eastAsia="仿宋_GB2312" w:cs="仿宋_GB2312"/>
          <w:sz w:val="32"/>
          <w:szCs w:val="32"/>
          <w:lang w:val="en-US" w:eastAsia="zh-CN"/>
        </w:rPr>
        <w:t>衔接</w:t>
      </w:r>
      <w:r>
        <w:rPr>
          <w:rFonts w:hint="eastAsia" w:ascii="仿宋_GB2312" w:hAnsi="仿宋_GB2312" w:eastAsia="仿宋_GB2312" w:cs="仿宋_GB2312"/>
          <w:sz w:val="32"/>
          <w:szCs w:val="32"/>
        </w:rPr>
        <w:t>、落实领导组办公室的工作部署信息，分享交流工作经验，提高业务能力;各成员单位要将工作推进情况，及时向领导组办公室汇报;各成员单位要充分挖掘营商环境工作中的好经验好做法，及时向领导组办公室报送相关信息。</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四</w:t>
      </w:r>
      <w:r>
        <w:rPr>
          <w:rFonts w:hint="eastAsia" w:ascii="楷体_GB2312" w:hAnsi="楷体_GB2312" w:eastAsia="楷体_GB2312" w:cs="楷体_GB2312"/>
          <w:sz w:val="32"/>
          <w:szCs w:val="32"/>
          <w:lang w:eastAsia="zh-CN"/>
        </w:rPr>
        <w:t>）强化协同联动。</w:t>
      </w:r>
      <w:r>
        <w:rPr>
          <w:rFonts w:hint="eastAsia" w:ascii="仿宋_GB2312" w:hAnsi="仿宋_GB2312" w:eastAsia="仿宋_GB2312" w:cs="仿宋_GB2312"/>
          <w:sz w:val="32"/>
          <w:szCs w:val="32"/>
        </w:rPr>
        <w:t>各成员单位要</w:t>
      </w:r>
      <w:r>
        <w:rPr>
          <w:rFonts w:hint="eastAsia" w:ascii="仿宋_GB2312" w:hAnsi="仿宋_GB2312" w:eastAsia="仿宋_GB2312" w:cs="仿宋_GB2312"/>
          <w:sz w:val="32"/>
          <w:szCs w:val="32"/>
          <w:lang w:val="en-US" w:eastAsia="zh-CN"/>
        </w:rPr>
        <w:t>牢固</w:t>
      </w:r>
      <w:r>
        <w:rPr>
          <w:rFonts w:hint="eastAsia" w:ascii="仿宋_GB2312" w:hAnsi="仿宋_GB2312" w:eastAsia="仿宋_GB2312" w:cs="仿宋_GB2312"/>
          <w:sz w:val="32"/>
          <w:szCs w:val="32"/>
        </w:rPr>
        <w:t>树立大局意识，坚持服务全局观念，主动沟通</w:t>
      </w:r>
      <w:r>
        <w:rPr>
          <w:rFonts w:hint="eastAsia" w:ascii="仿宋_GB2312" w:hAnsi="仿宋_GB2312" w:eastAsia="仿宋_GB2312" w:cs="仿宋_GB2312"/>
          <w:sz w:val="32"/>
          <w:szCs w:val="32"/>
          <w:lang w:val="en-US" w:eastAsia="zh-CN"/>
        </w:rPr>
        <w:t>衔接</w:t>
      </w:r>
      <w:r>
        <w:rPr>
          <w:rFonts w:hint="eastAsia" w:ascii="仿宋_GB2312" w:hAnsi="仿宋_GB2312" w:eastAsia="仿宋_GB2312" w:cs="仿宋_GB2312"/>
          <w:sz w:val="32"/>
          <w:szCs w:val="32"/>
        </w:rPr>
        <w:t>，密切协作配合，坚持问题导向，着力破解改革过程中的难点、堵点、痛点问题，不断激发干部担当作为内生动力，切实提高营商环境服务意识，努力提升</w:t>
      </w:r>
      <w:r>
        <w:rPr>
          <w:rFonts w:hint="eastAsia" w:ascii="仿宋_GB2312" w:hAnsi="仿宋_GB2312" w:eastAsia="仿宋_GB2312" w:cs="仿宋_GB2312"/>
          <w:sz w:val="32"/>
          <w:szCs w:val="32"/>
          <w:lang w:val="en-US" w:eastAsia="zh-CN"/>
        </w:rPr>
        <w:t>人民</w:t>
      </w:r>
      <w:r>
        <w:rPr>
          <w:rFonts w:hint="eastAsia" w:ascii="仿宋_GB2312" w:hAnsi="仿宋_GB2312" w:eastAsia="仿宋_GB2312" w:cs="仿宋_GB2312"/>
          <w:sz w:val="32"/>
          <w:szCs w:val="32"/>
        </w:rPr>
        <w:t>群众的满意度和获得感。各部</w:t>
      </w:r>
      <w:r>
        <w:rPr>
          <w:rFonts w:hint="eastAsia" w:ascii="仿宋_GB2312" w:hAnsi="仿宋_GB2312" w:eastAsia="仿宋_GB2312" w:cs="仿宋_GB2312"/>
          <w:sz w:val="32"/>
          <w:szCs w:val="32"/>
          <w:lang w:val="en-US" w:eastAsia="zh-CN"/>
        </w:rPr>
        <w:t>门</w:t>
      </w:r>
      <w:r>
        <w:rPr>
          <w:rFonts w:hint="eastAsia" w:ascii="仿宋_GB2312" w:hAnsi="仿宋_GB2312" w:eastAsia="仿宋_GB2312" w:cs="仿宋_GB2312"/>
          <w:sz w:val="32"/>
          <w:szCs w:val="32"/>
        </w:rPr>
        <w:t>根据需要，参照本方案建立健全本单位优化营商环境工作联动机制。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五</w:t>
      </w:r>
      <w:r>
        <w:rPr>
          <w:rFonts w:hint="eastAsia" w:ascii="楷体_GB2312" w:hAnsi="楷体_GB2312" w:eastAsia="楷体_GB2312" w:cs="楷体_GB2312"/>
          <w:sz w:val="32"/>
          <w:szCs w:val="32"/>
          <w:lang w:eastAsia="zh-CN"/>
        </w:rPr>
        <w:t>）主动担当作为。</w:t>
      </w:r>
      <w:r>
        <w:rPr>
          <w:rFonts w:hint="eastAsia" w:ascii="仿宋_GB2312" w:hAnsi="仿宋_GB2312" w:eastAsia="仿宋_GB2312" w:cs="仿宋_GB2312"/>
          <w:sz w:val="32"/>
          <w:szCs w:val="32"/>
        </w:rPr>
        <w:t>各成员单位要积板探索，创新工作方法，注重法律法规和政策落实的原则性和灵活性相结合，单独或会同有关部</w:t>
      </w:r>
      <w:r>
        <w:rPr>
          <w:rFonts w:hint="eastAsia" w:ascii="仿宋_GB2312" w:hAnsi="仿宋_GB2312" w:eastAsia="仿宋_GB2312" w:cs="仿宋_GB2312"/>
          <w:sz w:val="32"/>
          <w:szCs w:val="32"/>
          <w:lang w:eastAsia="zh-CN"/>
        </w:rPr>
        <w:t>门</w:t>
      </w:r>
      <w:r>
        <w:rPr>
          <w:rFonts w:hint="eastAsia" w:ascii="仿宋_GB2312" w:hAnsi="仿宋_GB2312" w:eastAsia="仿宋_GB2312" w:cs="仿宋_GB2312"/>
          <w:sz w:val="32"/>
          <w:szCs w:val="32"/>
        </w:rPr>
        <w:t>针对典型问题</w:t>
      </w:r>
      <w:r>
        <w:rPr>
          <w:rFonts w:hint="eastAsia" w:ascii="仿宋_GB2312" w:hAnsi="仿宋_GB2312" w:eastAsia="仿宋_GB2312" w:cs="仿宋_GB2312"/>
          <w:sz w:val="32"/>
          <w:szCs w:val="32"/>
          <w:lang w:val="en-US" w:eastAsia="zh-CN"/>
        </w:rPr>
        <w:t>出台</w:t>
      </w:r>
      <w:r>
        <w:rPr>
          <w:rFonts w:hint="eastAsia" w:ascii="仿宋_GB2312" w:hAnsi="仿宋_GB2312" w:eastAsia="仿宋_GB2312" w:cs="仿宋_GB2312"/>
          <w:sz w:val="32"/>
          <w:szCs w:val="32"/>
        </w:rPr>
        <w:t>政策指导意</w:t>
      </w:r>
      <w:r>
        <w:rPr>
          <w:rFonts w:hint="eastAsia" w:ascii="仿宋_GB2312" w:hAnsi="仿宋_GB2312" w:eastAsia="仿宋_GB2312" w:cs="仿宋_GB2312"/>
          <w:sz w:val="32"/>
          <w:szCs w:val="32"/>
          <w:lang w:eastAsia="zh-CN"/>
        </w:rPr>
        <w:t>见</w:t>
      </w:r>
      <w:r>
        <w:rPr>
          <w:rFonts w:hint="eastAsia" w:ascii="仿宋_GB2312" w:hAnsi="仿宋_GB2312" w:eastAsia="仿宋_GB2312" w:cs="仿宋_GB2312"/>
          <w:sz w:val="32"/>
          <w:szCs w:val="32"/>
        </w:rPr>
        <w:t>或操作指引等指导性文件，有效处理优化营商环境过程中面临的新问题、新</w:t>
      </w:r>
      <w:r>
        <w:rPr>
          <w:rFonts w:hint="eastAsia" w:ascii="仿宋_GB2312" w:hAnsi="仿宋_GB2312" w:eastAsia="仿宋_GB2312" w:cs="仿宋_GB2312"/>
          <w:sz w:val="32"/>
          <w:szCs w:val="32"/>
          <w:lang w:val="en-US" w:eastAsia="zh-CN"/>
        </w:rPr>
        <w:t>情况</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六</w:t>
      </w:r>
      <w:r>
        <w:rPr>
          <w:rFonts w:hint="eastAsia" w:ascii="楷体_GB2312" w:hAnsi="楷体_GB2312" w:eastAsia="楷体_GB2312" w:cs="楷体_GB2312"/>
          <w:sz w:val="32"/>
          <w:szCs w:val="32"/>
          <w:lang w:eastAsia="zh-CN"/>
        </w:rPr>
        <w:t>）强化督查考核。</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优化营商环境领导组将不定期对全</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营商环境工作开展监督检查，对落实有力、成效显著的</w:t>
      </w:r>
      <w:r>
        <w:rPr>
          <w:rFonts w:hint="eastAsia" w:ascii="仿宋_GB2312" w:hAnsi="仿宋_GB2312" w:eastAsia="仿宋_GB2312" w:cs="仿宋_GB2312"/>
          <w:sz w:val="32"/>
          <w:szCs w:val="32"/>
          <w:lang w:val="en-US" w:eastAsia="zh-CN"/>
        </w:rPr>
        <w:t>给予</w:t>
      </w:r>
      <w:r>
        <w:rPr>
          <w:rFonts w:hint="eastAsia" w:ascii="仿宋_GB2312" w:hAnsi="仿宋_GB2312" w:eastAsia="仿宋_GB2312" w:cs="仿宋_GB2312"/>
          <w:sz w:val="32"/>
          <w:szCs w:val="32"/>
        </w:rPr>
        <w:t>通报表扬;对落实不力、推诿扯皮、未按时限完成任务的，按照有关纪律规定追责问责。</w:t>
      </w:r>
    </w:p>
    <w:p>
      <w:pPr>
        <w:bidi w:val="0"/>
        <w:rPr>
          <w:rFonts w:hint="eastAsia"/>
          <w:lang w:val="en-US" w:eastAsia="zh-CN"/>
        </w:rPr>
      </w:pPr>
    </w:p>
    <w:p>
      <w:pPr>
        <w:bidi w:val="0"/>
        <w:ind w:left="0" w:leftChars="0" w:firstLine="0" w:firstLineChars="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keepNext w:val="0"/>
        <w:keepLines w:val="0"/>
        <w:pageBreakBefore w:val="0"/>
        <w:widowControl/>
        <w:kinsoku/>
        <w:wordWrap/>
        <w:overflowPunct/>
        <w:topLinePunct w:val="0"/>
        <w:autoSpaceDE/>
        <w:autoSpaceDN/>
        <w:bidi w:val="0"/>
        <w:adjustRightInd/>
        <w:snapToGrid/>
        <w:spacing w:after="313" w:afterLines="100"/>
        <w:ind w:left="0" w:leftChars="0" w:firstLine="0" w:firstLineChars="0"/>
        <w:textAlignment w:val="baseline"/>
        <w:rPr>
          <w:rFonts w:hint="eastAsia"/>
          <w:lang w:val="en-US" w:eastAsia="zh-CN"/>
        </w:rPr>
      </w:pPr>
    </w:p>
    <w:p>
      <w:pPr>
        <w:pStyle w:val="2"/>
        <w:rPr>
          <w:rFonts w:hint="eastAsia"/>
          <w:lang w:val="en-US" w:eastAsia="zh-CN"/>
        </w:rPr>
      </w:pPr>
    </w:p>
    <w:p>
      <w:pPr>
        <w:pStyle w:val="2"/>
        <w:keepNext w:val="0"/>
        <w:keepLines w:val="0"/>
        <w:pageBreakBefore w:val="0"/>
        <w:widowControl/>
        <w:kinsoku/>
        <w:wordWrap/>
        <w:overflowPunct/>
        <w:topLinePunct w:val="0"/>
        <w:autoSpaceDE/>
        <w:autoSpaceDN/>
        <w:bidi w:val="0"/>
        <w:adjustRightInd/>
        <w:snapToGrid/>
        <w:spacing w:after="157" w:afterLines="50"/>
        <w:ind w:left="0" w:leftChars="0" w:firstLine="0" w:firstLineChars="0"/>
        <w:textAlignment w:val="baseline"/>
        <w:rPr>
          <w:rFonts w:hint="eastAsia"/>
          <w:lang w:val="en-US" w:eastAsia="zh-CN"/>
        </w:rPr>
      </w:pPr>
    </w:p>
    <w:p>
      <w:pPr>
        <w:keepNext w:val="0"/>
        <w:keepLines w:val="0"/>
        <w:pageBreakBefore w:val="0"/>
        <w:widowControl/>
        <w:kinsoku/>
        <w:wordWrap/>
        <w:overflowPunct/>
        <w:topLinePunct w:val="0"/>
        <w:autoSpaceDE/>
        <w:autoSpaceDN/>
        <w:bidi w:val="0"/>
        <w:adjustRightInd/>
        <w:snapToGrid/>
        <w:spacing w:after="157" w:afterLines="50"/>
        <w:ind w:firstLine="420"/>
        <w:textAlignment w:val="baseline"/>
        <w:rPr>
          <w:rFonts w:hint="eastAsia"/>
          <w:lang w:val="en-US" w:eastAsia="zh-CN"/>
        </w:rPr>
      </w:pPr>
    </w:p>
    <w:p>
      <w:pPr>
        <w:bidi w:val="0"/>
        <w:rPr>
          <w:rFonts w:hint="eastAsia"/>
          <w:lang w:val="en-US" w:eastAsia="zh-CN"/>
        </w:rPr>
      </w:pPr>
    </w:p>
    <w:p>
      <w:pPr>
        <w:bidi w:val="0"/>
        <w:rPr>
          <w:rFonts w:hint="eastAsia"/>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-60960</wp:posOffset>
                </wp:positionH>
                <wp:positionV relativeFrom="paragraph">
                  <wp:posOffset>171450</wp:posOffset>
                </wp:positionV>
                <wp:extent cx="5734050" cy="0"/>
                <wp:effectExtent l="0" t="0" r="0" b="0"/>
                <wp:wrapNone/>
                <wp:docPr id="4" name="直接连接符 4"/>
                <wp:cNvGraphicFramePr/>
                <a:graphic xmlns:a="http://schemas.openxmlformats.org/drawingml/2006/main">
                  <a:graphicData uri="http://schemas.microsoft.com/office/word/2010/wordprocessingShape">
                    <wps:wsp>
                      <wps:cNvCnPr/>
                      <wps:spPr>
                        <a:xfrm>
                          <a:off x="927735" y="8900160"/>
                          <a:ext cx="5734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4.8pt;margin-top:13.5pt;height:0pt;width:451.5pt;z-index:251660288;mso-width-relative:page;mso-height-relative:page;" filled="f" stroked="t" coordsize="21600,21600" o:gfxdata="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RA6UdYAAAAIAQAADwAAAAAAAAABACAAAAAiAAAAZHJzL2Rvd25yZXYueG1sUEsBAhQAFAAAAAgA&#10;h07iQAyrA07uAQAAvAMAAA4AAAAAAAAAAQAgAAAAJQEAAGRycy9lMm9Eb2MueG1sUEsFBgAAAAAG&#10;AAYAWQEAAIUFAAAAAA==&#10;">
                <v:fill on="f" focussize="0,0"/>
                <v:stroke weight="0.5pt" color="#000000 [3200]" miterlimit="8" joinstyle="miter"/>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lang w:val="en-US" w:eastAsia="zh-CN"/>
        </w:rPr>
      </w:pPr>
      <w:r>
        <w:rPr>
          <w:rFonts w:hint="eastAsia" w:ascii="仿宋_GB2312" w:hAnsi="仿宋_GB2312" w:eastAsia="仿宋_GB2312" w:cs="仿宋_GB2312"/>
          <w:sz w:val="30"/>
          <w:szCs w:val="30"/>
          <w:lang w:val="en-US" w:eastAsia="zh-CN"/>
        </w:rPr>
        <mc:AlternateContent>
          <mc:Choice Requires="wps">
            <w:drawing>
              <wp:anchor distT="0" distB="0" distL="114300" distR="114300" simplePos="0" relativeHeight="251661312" behindDoc="0" locked="0" layoutInCell="1" allowOverlap="1">
                <wp:simplePos x="0" y="0"/>
                <wp:positionH relativeFrom="column">
                  <wp:posOffset>-51435</wp:posOffset>
                </wp:positionH>
                <wp:positionV relativeFrom="paragraph">
                  <wp:posOffset>296545</wp:posOffset>
                </wp:positionV>
                <wp:extent cx="573405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5734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4.05pt;margin-top:23.35pt;height:0pt;width:451.5pt;z-index:251661312;mso-width-relative:page;mso-height-relative:page;" filled="f" stroked="t" coordsize="21600,21600" o:gfxdata="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1RcZz1gAAAAgBAAAP&#10;AAAAAAAAAAEAIAAAACIAAABkcnMvZG93bnJldi54bWxQSwECFAAUAAAACACHTuJAvKCdbeEBAACx&#10;AwAADgAAAAAAAAABACAAAAAlAQAAZHJzL2Uyb0RvYy54bWxQSwUGAAAAAAYABgBZAQAAeAUAAAAA&#10;">
                <v:fill on="f" focussize="0,0"/>
                <v:stroke weight="0.5pt" color="#000000 [3200]" miterlimit="8" joinstyle="miter"/>
                <v:imagedata o:title=""/>
                <o:lock v:ext="edit" aspectratio="f"/>
              </v:line>
            </w:pict>
          </mc:Fallback>
        </mc:AlternateContent>
      </w:r>
      <w:r>
        <w:rPr>
          <w:rFonts w:hint="eastAsia" w:ascii="仿宋_GB2312" w:hAnsi="仿宋_GB2312" w:eastAsia="仿宋_GB2312" w:cs="仿宋_GB2312"/>
          <w:sz w:val="30"/>
          <w:szCs w:val="30"/>
          <w:lang w:val="en-US" w:eastAsia="zh-CN"/>
        </w:rPr>
        <w:t>襄垣县优化营商环境领导组办公室        2023年7月25日印发</w:t>
      </w:r>
    </w:p>
    <w:sectPr>
      <w:footerReference r:id="rId6" w:type="default"/>
      <w:pgSz w:w="11906" w:h="16838"/>
      <w:pgMar w:top="2098" w:right="1474" w:bottom="1984" w:left="1587" w:header="851" w:footer="1587" w:gutter="0"/>
      <w:pgNumType w:fmt="numberInDash" w:start="1"/>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_x0011_..哟..">
    <w:altName w:val="宋体"/>
    <w:panose1 w:val="00000000000000000000"/>
    <w:charset w:val="86"/>
    <w:family w:val="roma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方正小标宋简体">
    <w:altName w:val="方正舒体"/>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enter" w:pos="4207"/>
        <w:tab w:val="center" w:pos="4422"/>
        <w:tab w:val="clear" w:pos="4153"/>
        <w:tab w:val="clear" w:pos="8306"/>
      </w:tabs>
    </w:pPr>
    <w:r>
      <w:rPr>
        <w:rFonts w:hint="eastAsia"/>
        <w:lang w:eastAsia="zh-CN"/>
      </w:rPr>
      <w:tab/>
    </w:r>
    <w:r>
      <w:rPr>
        <w:rFonts w:hint="eastAsia"/>
        <w:lang w:eastAsia="zh-CN"/>
      </w:rPr>
      <w:tab/>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enter" w:pos="4207"/>
        <w:tab w:val="center" w:pos="4422"/>
        <w:tab w:val="clear" w:pos="4153"/>
        <w:tab w:val="clear" w:pos="8306"/>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- 1 -</w:t>
                    </w:r>
                    <w:r>
                      <w:fldChar w:fldCharType="end"/>
                    </w:r>
                  </w:p>
                </w:txbxContent>
              </v:textbox>
            </v:shape>
          </w:pict>
        </mc:Fallback>
      </mc:AlternateContent>
    </w:r>
    <w:r>
      <w:rPr>
        <w:rFonts w:hint="eastAsia"/>
        <w:lang w:eastAsia="zh-CN"/>
      </w:rPr>
      <w:tab/>
    </w:r>
    <w:r>
      <w:rPr>
        <w:rFonts w:hint="eastAsia"/>
        <w:lang w:eastAsia="zh-CN"/>
      </w:rPr>
      <w:tab/>
    </w:r>
    <w:r>
      <w:rPr>
        <w:rFonts w:hint="eastAsia"/>
        <w:lang w:eastAsia="zh-CN"/>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hNDlkMTAwYzBkZjQzYWJkYTQ3NGZkZGZhMzk3YWIifQ=="/>
  </w:docVars>
  <w:rsids>
    <w:rsidRoot w:val="32D50ABA"/>
    <w:rsid w:val="033F1FB0"/>
    <w:rsid w:val="0358432A"/>
    <w:rsid w:val="070C5537"/>
    <w:rsid w:val="090D12BC"/>
    <w:rsid w:val="0C2F779B"/>
    <w:rsid w:val="13893C35"/>
    <w:rsid w:val="1E1862E1"/>
    <w:rsid w:val="1E575760"/>
    <w:rsid w:val="281902F5"/>
    <w:rsid w:val="2A8A5AFD"/>
    <w:rsid w:val="2D990AC0"/>
    <w:rsid w:val="30977539"/>
    <w:rsid w:val="32D50ABA"/>
    <w:rsid w:val="34180991"/>
    <w:rsid w:val="385B52F0"/>
    <w:rsid w:val="3A601951"/>
    <w:rsid w:val="41736AF6"/>
    <w:rsid w:val="49A62143"/>
    <w:rsid w:val="4F587A3C"/>
    <w:rsid w:val="5D26561D"/>
    <w:rsid w:val="6CA87DFD"/>
    <w:rsid w:val="700E1C4C"/>
    <w:rsid w:val="7DBF78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51" w:lineRule="atLeast"/>
      <w:ind w:firstLine="419"/>
      <w:jc w:val="both"/>
      <w:textAlignment w:val="baseline"/>
    </w:pPr>
    <w:rPr>
      <w:rFonts w:ascii="Times New Roman" w:hAnsi="Times New Roman" w:eastAsia="宋体" w:cs="Times New Roman"/>
      <w:color w:val="000000"/>
      <w:sz w:val="21"/>
      <w:u w:val="none" w:color="000000"/>
      <w:vertAlign w:val="baseline"/>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pPr>
  </w:style>
  <w:style w:type="paragraph" w:styleId="3">
    <w:name w:val="footer"/>
    <w:basedOn w:val="1"/>
    <w:autoRedefine/>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First Indent 2"/>
    <w:basedOn w:val="1"/>
    <w:next w:val="6"/>
    <w:autoRedefine/>
    <w:qFormat/>
    <w:uiPriority w:val="0"/>
    <w:pPr>
      <w:ind w:firstLine="420" w:firstLineChars="200"/>
    </w:pPr>
  </w:style>
  <w:style w:type="paragraph" w:customStyle="1" w:styleId="6">
    <w:name w:val="Default"/>
    <w:autoRedefine/>
    <w:qFormat/>
    <w:uiPriority w:val="0"/>
    <w:pPr>
      <w:widowControl w:val="0"/>
      <w:autoSpaceDE w:val="0"/>
      <w:autoSpaceDN w:val="0"/>
      <w:adjustRightInd w:val="0"/>
    </w:pPr>
    <w:rPr>
      <w:rFonts w:ascii="宋体_x0011_..哟.." w:hAnsi="Times New Roman" w:eastAsia="宋体_x0011_..哟.." w:cs="宋体_x0011_..哟.."/>
      <w:color w:val="000000"/>
      <w:sz w:val="24"/>
      <w:szCs w:val="24"/>
      <w:lang w:val="en-US" w:eastAsia="zh-CN" w:bidi="ar-SA"/>
    </w:rPr>
  </w:style>
  <w:style w:type="character" w:styleId="9">
    <w:name w:val="Hyperlink"/>
    <w:basedOn w:val="8"/>
    <w:autoRedefine/>
    <w:qFormat/>
    <w:uiPriority w:val="0"/>
    <w:rPr>
      <w:color w:val="0000FF"/>
      <w:u w:val="single"/>
    </w:rPr>
  </w:style>
  <w:style w:type="paragraph" w:customStyle="1" w:styleId="10">
    <w:name w:val="_Style 1"/>
    <w:autoRedefine/>
    <w:qFormat/>
    <w:uiPriority w:val="0"/>
    <w:pPr>
      <w:widowControl w:val="0"/>
      <w:jc w:val="both"/>
    </w:pPr>
    <w:rPr>
      <w:rFonts w:ascii="仿宋" w:hAnsi="仿宋" w:eastAsia="仿宋"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3789</Words>
  <Characters>3800</Characters>
  <Lines>0</Lines>
  <Paragraphs>0</Paragraphs>
  <TotalTime>0</TotalTime>
  <ScaleCrop>false</ScaleCrop>
  <LinksUpToDate>false</LinksUpToDate>
  <CharactersWithSpaces>3808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2023-07-11T17:15:00Z</dcterms:created>
  <dc:creator>点蜡上网</dc:creator>
  <cp:lastModifiedBy>洁宁</cp:lastModifiedBy>
  <cp:lastPrinted>2023-07-25T16:43:00Z</cp:lastPrinted>
  <dcterms:modified xsi:type="dcterms:W3CDTF">2024-08-09T01:25:42Z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9D78AA849460480E961352D17D701375_13</vt:lpwstr>
  </property>
</Properties>
</file>