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ind w:firstLine="880" w:firstLineChars="200"/>
        <w:jc w:val="both"/>
        <w:textAlignment w:val="auto"/>
        <w:rPr>
          <w:rFonts w:hint="default" w:ascii="Times New Roman" w:hAnsi="Times New Roman" w:eastAsia="方正小标宋简体"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880" w:firstLineChars="200"/>
        <w:jc w:val="both"/>
        <w:textAlignment w:val="auto"/>
        <w:rPr>
          <w:rFonts w:hint="default" w:ascii="Times New Roman" w:hAnsi="Times New Roman" w:eastAsia="方正小标宋简体"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襄垣县政府国有资产监督管理局</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2024年上半年</w:t>
      </w:r>
      <w:r>
        <w:rPr>
          <w:rFonts w:hint="default" w:ascii="Times New Roman" w:hAnsi="Times New Roman" w:eastAsia="方正小标宋简体" w:cs="Times New Roman"/>
          <w:sz w:val="44"/>
          <w:szCs w:val="44"/>
        </w:rPr>
        <w:t>工作</w:t>
      </w:r>
      <w:r>
        <w:rPr>
          <w:rFonts w:hint="default" w:ascii="Times New Roman" w:hAnsi="Times New Roman" w:eastAsia="方正小标宋简体" w:cs="Times New Roman"/>
          <w:sz w:val="44"/>
          <w:szCs w:val="44"/>
          <w:lang w:eastAsia="zh-CN"/>
        </w:rPr>
        <w:t>总结和</w:t>
      </w:r>
      <w:r>
        <w:rPr>
          <w:rFonts w:hint="default" w:ascii="Times New Roman" w:hAnsi="Times New Roman" w:eastAsia="方正小标宋简体" w:cs="Times New Roman"/>
          <w:sz w:val="44"/>
          <w:szCs w:val="44"/>
          <w:lang w:val="en-US" w:eastAsia="zh-CN"/>
        </w:rPr>
        <w:t>下半年工作计划</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一、工作情况</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截至2024年5月底，县属国有企业资产总额264.30亿元 ，负债总额170.31亿元，所有者权益93.99亿元，资产负债率为64.44%；累计营业总收入16.03亿元，利润总额1.28亿元，净利润0.8亿元，上交税费总额3.20亿元。本年累</w:t>
      </w:r>
      <w:bookmarkStart w:id="1" w:name="_GoBack"/>
      <w:bookmarkEnd w:id="1"/>
      <w:r>
        <w:rPr>
          <w:rFonts w:hint="default" w:ascii="Times New Roman" w:hAnsi="Times New Roman" w:eastAsia="仿宋_GB2312" w:cs="Times New Roman"/>
          <w:color w:val="auto"/>
          <w:sz w:val="32"/>
          <w:szCs w:val="32"/>
          <w:lang w:val="en-US" w:eastAsia="zh-CN"/>
        </w:rPr>
        <w:t>计营业总收入与上年同期相比下降28.5%，利润总额相比下降58.49%，净利润相比下降65.57%，上交税费总额同比下降45.67%。其中：5月当月实现营业总收入0.62亿元，与上月的5.16亿元相比减少4.54亿元，环比减少87.98%；利润总额−0.33亿元，与上月的1.3亿元相比减少0.97亿元；净利润−0.48亿元，与上月的1.27亿元相比减少1.75亿元；上交税费总额0.47亿元，与上月0.81亿元相比减少0.34亿元，环比下降41.98%。</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楷体" w:cs="Times New Roman"/>
          <w:sz w:val="32"/>
          <w:szCs w:val="32"/>
          <w:lang w:val="en-US" w:eastAsia="zh-CN"/>
        </w:rPr>
      </w:pPr>
      <w:r>
        <w:rPr>
          <w:rFonts w:hint="default" w:ascii="Times New Roman" w:hAnsi="Times New Roman" w:eastAsia="楷体" w:cs="Times New Roman"/>
          <w:sz w:val="32"/>
          <w:szCs w:val="32"/>
          <w:lang w:val="en-US" w:eastAsia="zh-CN"/>
        </w:rPr>
        <w:t>（一）2024年上半年工作总结</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1.国企党建工作。（1）党纪学习教育。</w:t>
      </w:r>
      <w:r>
        <w:rPr>
          <w:rFonts w:hint="default" w:ascii="Times New Roman" w:hAnsi="Times New Roman" w:eastAsia="仿宋_GB2312" w:cs="Times New Roman"/>
          <w:sz w:val="32"/>
          <w:szCs w:val="32"/>
          <w:lang w:val="en-US" w:eastAsia="zh-CN"/>
        </w:rPr>
        <w:t>制定下发党纪学习教育工作安排，组织</w:t>
      </w:r>
      <w:r>
        <w:rPr>
          <w:rFonts w:hint="default" w:ascii="Times New Roman" w:hAnsi="Times New Roman" w:eastAsia="仿宋_GB2312" w:cs="Times New Roman"/>
          <w:sz w:val="32"/>
          <w:szCs w:val="32"/>
          <w:lang w:eastAsia="zh-CN"/>
        </w:rPr>
        <w:t>党员</w:t>
      </w:r>
      <w:r>
        <w:rPr>
          <w:rFonts w:hint="default" w:ascii="Times New Roman" w:hAnsi="Times New Roman" w:eastAsia="仿宋_GB2312" w:cs="Times New Roman"/>
          <w:sz w:val="32"/>
          <w:szCs w:val="32"/>
          <w:lang w:val="en-US" w:eastAsia="zh-CN"/>
        </w:rPr>
        <w:t>原原本本学习</w:t>
      </w:r>
      <w:r>
        <w:rPr>
          <w:rFonts w:hint="default" w:ascii="Times New Roman" w:hAnsi="Times New Roman" w:eastAsia="仿宋_GB2312" w:cs="Times New Roman"/>
          <w:sz w:val="32"/>
          <w:szCs w:val="32"/>
        </w:rPr>
        <w:t>《中国共产党纪律处分条例》《习近平关于全面加强党的纪律建设论述摘编》</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不断强化纪律规矩意识，</w:t>
      </w:r>
      <w:r>
        <w:rPr>
          <w:rFonts w:hint="default" w:ascii="Times New Roman" w:hAnsi="Times New Roman" w:eastAsia="仿宋_GB2312" w:cs="Times New Roman"/>
          <w:sz w:val="32"/>
          <w:szCs w:val="32"/>
          <w:lang w:eastAsia="zh-CN"/>
        </w:rPr>
        <w:t>引导党员</w:t>
      </w:r>
      <w:r>
        <w:rPr>
          <w:rFonts w:hint="default" w:ascii="Times New Roman" w:hAnsi="Times New Roman" w:eastAsia="仿宋_GB2312" w:cs="Times New Roman"/>
          <w:sz w:val="32"/>
          <w:szCs w:val="32"/>
        </w:rPr>
        <w:t>自觉学纪知纪明纪守纪</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b/>
          <w:bCs/>
          <w:sz w:val="32"/>
          <w:szCs w:val="32"/>
          <w:lang w:val="en-US" w:eastAsia="zh-CN"/>
        </w:rPr>
        <w:t>（2）群腐问题整治。</w:t>
      </w:r>
      <w:r>
        <w:rPr>
          <w:rFonts w:hint="default" w:ascii="Times New Roman" w:hAnsi="Times New Roman" w:eastAsia="仿宋_GB2312" w:cs="Times New Roman"/>
          <w:sz w:val="32"/>
          <w:szCs w:val="32"/>
          <w:lang w:val="en-US" w:eastAsia="zh-CN"/>
        </w:rPr>
        <w:t>召开国资局党委群众身边不正之风和腐败问题集中整治动员会、基建工程领域招投标突出问题整治工作会议，查找群众身边不正之风和腐败问题。</w:t>
      </w:r>
      <w:r>
        <w:rPr>
          <w:rFonts w:hint="default" w:ascii="Times New Roman" w:hAnsi="Times New Roman" w:eastAsia="仿宋_GB2312" w:cs="Times New Roman"/>
          <w:b/>
          <w:bCs/>
          <w:sz w:val="32"/>
          <w:szCs w:val="32"/>
          <w:lang w:val="en-US" w:eastAsia="zh-CN"/>
        </w:rPr>
        <w:t>（3）党政领导干部违规入股企业问题专项清理“回头看”。</w:t>
      </w:r>
      <w:r>
        <w:rPr>
          <w:rFonts w:hint="default" w:ascii="Times New Roman" w:hAnsi="Times New Roman" w:eastAsia="仿宋_GB2312" w:cs="Times New Roman"/>
          <w:sz w:val="32"/>
          <w:szCs w:val="32"/>
          <w:lang w:val="en-US" w:eastAsia="zh-CN"/>
        </w:rPr>
        <w:t>组织局机关副科级以上干部和各国有企业负责人签订《党政领导干部主动纠正违规入股承诺书》，排查违规入股企业问题。</w:t>
      </w:r>
      <w:r>
        <w:rPr>
          <w:rFonts w:hint="default" w:ascii="Times New Roman" w:hAnsi="Times New Roman" w:eastAsia="仿宋_GB2312" w:cs="Times New Roman"/>
          <w:b/>
          <w:bCs/>
          <w:sz w:val="32"/>
          <w:szCs w:val="32"/>
          <w:lang w:val="en-US" w:eastAsia="zh-CN"/>
        </w:rPr>
        <w:t>（4）企业党建考核。</w:t>
      </w:r>
      <w:r>
        <w:rPr>
          <w:rFonts w:hint="default" w:ascii="Times New Roman" w:hAnsi="Times New Roman" w:eastAsia="仿宋_GB2312" w:cs="Times New Roman"/>
          <w:sz w:val="32"/>
          <w:szCs w:val="32"/>
          <w:lang w:val="en-US" w:eastAsia="zh-CN"/>
        </w:rPr>
        <w:t>按照“较好”或以下等次不低于1/4要求，确定考核等次。考核结果好的支部为水务集团、兴通公司、外贸公司、煤气公司、众襄联公司、襄粮兴公司、世通公司、祥民公司；较好及以下的支部为：漳江集团、物资总公司、祥瑞公司、托管企业支部。</w:t>
      </w:r>
      <w:r>
        <w:rPr>
          <w:rFonts w:hint="default" w:ascii="Times New Roman" w:hAnsi="Times New Roman" w:eastAsia="仿宋_GB2312" w:cs="Times New Roman"/>
          <w:b/>
          <w:bCs/>
          <w:sz w:val="32"/>
          <w:szCs w:val="32"/>
          <w:lang w:val="en-US" w:eastAsia="zh-CN"/>
        </w:rPr>
        <w:t>（5）基层党建述职评议。</w:t>
      </w:r>
      <w:r>
        <w:rPr>
          <w:rFonts w:hint="default" w:ascii="Times New Roman" w:hAnsi="Times New Roman" w:eastAsia="仿宋_GB2312" w:cs="Times New Roman"/>
          <w:sz w:val="32"/>
          <w:szCs w:val="32"/>
          <w:lang w:val="en-US" w:eastAsia="zh-CN"/>
        </w:rPr>
        <w:t>按照县委组织部安排，召开了县属国有企业2023年度党组织书记抓基层党建工作述职评议会议，兴通公司等4户企业进行现场述职，其他企业书面述职，并逐一点评、民主测评。</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2.发展改革工作。（1）襄矿泓通煤化工复工投产。</w:t>
      </w:r>
      <w:r>
        <w:rPr>
          <w:rFonts w:hint="default" w:ascii="Times New Roman" w:hAnsi="Times New Roman" w:eastAsia="仿宋_GB2312" w:cs="Times New Roman"/>
          <w:sz w:val="32"/>
          <w:szCs w:val="32"/>
          <w:lang w:val="en-US" w:eastAsia="zh-CN"/>
        </w:rPr>
        <w:t>起草了《关于成立推动襄矿泓通煤化工项目复工投产领导组的请示》，已经县政府常务会、县委常委会研究通过，并签字印发。襄矿集团制定了《20万吨/年合成气制乙二醇项目试车计划书》。</w:t>
      </w:r>
      <w:r>
        <w:rPr>
          <w:rFonts w:hint="default" w:ascii="Times New Roman" w:hAnsi="Times New Roman" w:eastAsia="仿宋_GB2312" w:cs="Times New Roman"/>
          <w:b/>
          <w:bCs/>
          <w:sz w:val="32"/>
          <w:szCs w:val="32"/>
          <w:lang w:val="en-US" w:eastAsia="zh-CN"/>
        </w:rPr>
        <w:t>（2）华新燃气公司40%股权无偿划转。</w:t>
      </w:r>
      <w:r>
        <w:rPr>
          <w:rFonts w:hint="default" w:ascii="Times New Roman" w:hAnsi="Times New Roman" w:eastAsia="仿宋_GB2312" w:cs="Times New Roman"/>
          <w:sz w:val="32"/>
          <w:szCs w:val="32"/>
          <w:lang w:val="en-US" w:eastAsia="zh-CN"/>
        </w:rPr>
        <w:t>漳江集团将持有的襄垣县华新城市燃气有限公司40%股权无偿划转至襄垣县惠民煤气有限公司，已完成划转工作方案制订。</w:t>
      </w:r>
      <w:r>
        <w:rPr>
          <w:rFonts w:hint="default" w:ascii="Times New Roman" w:hAnsi="Times New Roman" w:eastAsia="仿宋_GB2312" w:cs="Times New Roman"/>
          <w:b/>
          <w:bCs/>
          <w:sz w:val="32"/>
          <w:szCs w:val="32"/>
          <w:lang w:val="en-US" w:eastAsia="zh-CN"/>
        </w:rPr>
        <w:t>（3）物资总公司公司制改制。</w:t>
      </w:r>
      <w:r>
        <w:rPr>
          <w:rFonts w:hint="default" w:ascii="Times New Roman" w:hAnsi="Times New Roman" w:eastAsia="仿宋_GB2312" w:cs="Times New Roman"/>
          <w:sz w:val="32"/>
          <w:szCs w:val="32"/>
          <w:lang w:val="en-US" w:eastAsia="zh-CN"/>
        </w:rPr>
        <w:t>经审核，襄垣县物资总公司《关于实施公司制改制的工作方案》符合《襄垣县县属国有企业公司制改制工作实施方案》要求，报县政府常务会议研究后实施。</w:t>
      </w:r>
      <w:r>
        <w:rPr>
          <w:rFonts w:hint="default" w:ascii="Times New Roman" w:hAnsi="Times New Roman" w:eastAsia="仿宋_GB2312" w:cs="Times New Roman"/>
          <w:b/>
          <w:bCs/>
          <w:sz w:val="32"/>
          <w:szCs w:val="32"/>
          <w:lang w:val="en-US" w:eastAsia="zh-CN"/>
        </w:rPr>
        <w:t>（4）设立襄矿信和能源公司。</w:t>
      </w:r>
      <w:r>
        <w:rPr>
          <w:rFonts w:hint="default" w:ascii="Times New Roman" w:hAnsi="Times New Roman" w:eastAsia="仿宋_GB2312" w:cs="Times New Roman"/>
          <w:sz w:val="32"/>
          <w:szCs w:val="32"/>
          <w:lang w:val="en-US" w:eastAsia="zh-CN"/>
        </w:rPr>
        <w:t>为响应国家关于鼓励混合所有制经济发展和推动能源行业可持续发展的政策导向，经研究，依据《关于进一步加强国资监管有关事项的通知》，原则同意设立山西襄矿信和能源股份有限公司</w:t>
      </w:r>
      <w:r>
        <w:rPr>
          <w:rFonts w:hint="default" w:ascii="Times New Roman" w:hAnsi="Times New Roman" w:eastAsia="仿宋_GB2312" w:cs="Times New Roman"/>
          <w:sz w:val="32"/>
          <w:szCs w:val="32"/>
          <w:lang w:eastAsia="zh-CN"/>
        </w:rPr>
        <w:t>，并要求</w:t>
      </w:r>
      <w:r>
        <w:rPr>
          <w:rFonts w:hint="default" w:ascii="Times New Roman" w:hAnsi="Times New Roman" w:eastAsia="仿宋_GB2312" w:cs="Times New Roman"/>
          <w:sz w:val="32"/>
          <w:szCs w:val="32"/>
        </w:rPr>
        <w:t>重大投资事项需报县政府批准后实施</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b/>
          <w:bCs/>
          <w:sz w:val="32"/>
          <w:szCs w:val="32"/>
          <w:lang w:val="en-US" w:eastAsia="zh-CN"/>
        </w:rPr>
        <w:t>（5）医药药材公司清算。</w:t>
      </w:r>
      <w:r>
        <w:rPr>
          <w:rFonts w:hint="default" w:ascii="Times New Roman" w:hAnsi="Times New Roman" w:eastAsia="仿宋_GB2312" w:cs="Times New Roman"/>
          <w:sz w:val="32"/>
          <w:szCs w:val="32"/>
          <w:lang w:val="en-US" w:eastAsia="zh-CN"/>
        </w:rPr>
        <w:t>为确保</w:t>
      </w:r>
      <w:r>
        <w:rPr>
          <w:rFonts w:hint="default" w:ascii="Times New Roman" w:hAnsi="Times New Roman" w:eastAsia="仿宋_GB2312" w:cs="Times New Roman"/>
          <w:sz w:val="32"/>
          <w:szCs w:val="32"/>
          <w:rtl w:val="0"/>
          <w:lang w:val="en-US" w:eastAsia="zh-CN"/>
        </w:rPr>
        <w:t>医药药材公司</w:t>
      </w:r>
      <w:r>
        <w:rPr>
          <w:rFonts w:hint="default" w:ascii="Times New Roman" w:hAnsi="Times New Roman" w:eastAsia="仿宋_GB2312" w:cs="Times New Roman"/>
          <w:sz w:val="32"/>
          <w:szCs w:val="32"/>
          <w:lang w:val="en-US" w:eastAsia="zh-CN"/>
        </w:rPr>
        <w:t>关闭清算工作依法依规推进，</w:t>
      </w:r>
      <w:r>
        <w:rPr>
          <w:rFonts w:hint="default" w:ascii="Times New Roman" w:hAnsi="Times New Roman" w:eastAsia="仿宋_GB2312" w:cs="Times New Roman"/>
          <w:sz w:val="32"/>
          <w:szCs w:val="32"/>
          <w:rtl w:val="0"/>
          <w:lang w:val="en-US" w:eastAsia="zh-CN"/>
        </w:rPr>
        <w:t>医药药材公司成立了清算组，全面负责企业关闭清算工作，正按方案稳步实施。</w:t>
      </w:r>
      <w:r>
        <w:rPr>
          <w:rFonts w:hint="default" w:ascii="Times New Roman" w:hAnsi="Times New Roman" w:eastAsia="仿宋_GB2312" w:cs="Times New Roman"/>
          <w:b/>
          <w:bCs/>
          <w:sz w:val="32"/>
          <w:szCs w:val="32"/>
          <w:rtl w:val="0"/>
          <w:lang w:val="en-US" w:eastAsia="zh-CN"/>
        </w:rPr>
        <w:t>（6）襄矿辉坡煤业股权转让。</w:t>
      </w:r>
      <w:r>
        <w:rPr>
          <w:rFonts w:hint="default" w:ascii="Times New Roman" w:hAnsi="Times New Roman" w:eastAsia="仿宋_GB2312" w:cs="Times New Roman"/>
          <w:sz w:val="32"/>
          <w:szCs w:val="32"/>
          <w:rtl w:val="0"/>
          <w:lang w:val="en-US" w:eastAsia="zh-CN"/>
        </w:rPr>
        <w:t>襄矿集团已完成辉坡煤业51%股权转让可行性研究、风险评估；制定实施方案和职工安置方案，其中股权转让实施方案已国资局审核同意，职工安置方案已经职工代表大会审议通过；完成清产核资审计工作和资产评估前期工作，初步测算拟转让评估价值。</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3.考核分配工作。</w:t>
      </w:r>
      <w:bookmarkStart w:id="0" w:name="_Toc29850"/>
      <w:r>
        <w:rPr>
          <w:rFonts w:hint="default" w:ascii="Times New Roman" w:hAnsi="Times New Roman" w:eastAsia="仿宋_GB2312" w:cs="Times New Roman"/>
          <w:b/>
          <w:bCs/>
          <w:sz w:val="32"/>
          <w:szCs w:val="32"/>
          <w:lang w:val="en-US" w:eastAsia="zh-CN"/>
        </w:rPr>
        <w:t>（1）襄矿集团经营业绩考核工作。</w:t>
      </w:r>
      <w:r>
        <w:rPr>
          <w:rFonts w:hint="default" w:ascii="Times New Roman" w:hAnsi="Times New Roman" w:eastAsia="仿宋_GB2312" w:cs="Times New Roman"/>
          <w:sz w:val="32"/>
          <w:szCs w:val="32"/>
          <w:lang w:val="en-US" w:eastAsia="zh-CN"/>
        </w:rPr>
        <w:t>为顺利推进襄矿集团2023年度县属国有企业负责人经营业绩考核工作，聘请中介对襄矿集团经营业绩完成情况进行审计，出具审计报告。现已完成襄矿集团财务决算报告审计工作，正审计2023年度企业负责人经营业绩完成情况。</w:t>
      </w:r>
      <w:r>
        <w:rPr>
          <w:rFonts w:hint="default" w:ascii="Times New Roman" w:hAnsi="Times New Roman" w:eastAsia="仿宋_GB2312" w:cs="Times New Roman"/>
          <w:b/>
          <w:bCs/>
          <w:sz w:val="32"/>
          <w:szCs w:val="32"/>
          <w:lang w:val="en-US" w:eastAsia="zh-CN"/>
        </w:rPr>
        <w:t>（2）襄矿集团工资总额清算工作。</w:t>
      </w:r>
      <w:r>
        <w:rPr>
          <w:rFonts w:hint="default" w:ascii="Times New Roman" w:hAnsi="Times New Roman" w:eastAsia="仿宋_GB2312" w:cs="Times New Roman"/>
          <w:sz w:val="32"/>
          <w:szCs w:val="32"/>
        </w:rPr>
        <w:t>根据《</w:t>
      </w:r>
      <w:r>
        <w:rPr>
          <w:rFonts w:hint="default" w:ascii="Times New Roman" w:hAnsi="Times New Roman" w:eastAsia="仿宋_GB2312" w:cs="Times New Roman"/>
          <w:sz w:val="32"/>
          <w:szCs w:val="32"/>
          <w:lang w:eastAsia="zh-CN"/>
        </w:rPr>
        <w:t>襄垣县县属国有企业工资总额管理办法（试行）</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，聘请中介清算襄矿集团工资总额执行情况，复核预算情况，出具审计报告。现已组织襄矿集团报送</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属国有企业20</w:t>
      </w:r>
      <w:r>
        <w:rPr>
          <w:rFonts w:hint="default" w:ascii="Times New Roman" w:hAnsi="Times New Roman" w:eastAsia="仿宋_GB2312" w:cs="Times New Roman"/>
          <w:sz w:val="32"/>
          <w:szCs w:val="32"/>
          <w:lang w:val="en-US" w:eastAsia="zh-CN"/>
        </w:rPr>
        <w:t>23</w:t>
      </w:r>
      <w:r>
        <w:rPr>
          <w:rFonts w:hint="default" w:ascii="Times New Roman" w:hAnsi="Times New Roman" w:eastAsia="仿宋_GB2312" w:cs="Times New Roman"/>
          <w:sz w:val="32"/>
          <w:szCs w:val="32"/>
        </w:rPr>
        <w:t>年度工资总额执行情况</w:t>
      </w:r>
      <w:r>
        <w:rPr>
          <w:rFonts w:hint="default" w:ascii="Times New Roman" w:hAnsi="Times New Roman" w:eastAsia="仿宋_GB2312" w:cs="Times New Roman"/>
          <w:sz w:val="32"/>
          <w:szCs w:val="32"/>
          <w:lang w:eastAsia="zh-CN"/>
        </w:rPr>
        <w:t>及</w:t>
      </w:r>
      <w:r>
        <w:rPr>
          <w:rFonts w:hint="default" w:ascii="Times New Roman" w:hAnsi="Times New Roman" w:eastAsia="仿宋_GB2312" w:cs="Times New Roman"/>
          <w:sz w:val="32"/>
          <w:szCs w:val="32"/>
          <w:lang w:val="en-US" w:eastAsia="zh-CN"/>
        </w:rPr>
        <w:t>2024年度工资总额预算情况。正在审计2023年度工资总额预算执行情况及审核2024年度工资预算情况。</w:t>
      </w:r>
      <w:r>
        <w:rPr>
          <w:rFonts w:hint="default" w:ascii="Times New Roman" w:hAnsi="Times New Roman" w:eastAsia="仿宋_GB2312" w:cs="Times New Roman"/>
          <w:b/>
          <w:bCs/>
          <w:sz w:val="32"/>
          <w:szCs w:val="32"/>
          <w:lang w:val="en-US" w:eastAsia="zh-CN"/>
        </w:rPr>
        <w:t>（3）2023年度经营业绩考核。</w:t>
      </w:r>
      <w:r>
        <w:rPr>
          <w:rFonts w:hint="default" w:ascii="Times New Roman" w:hAnsi="Times New Roman" w:eastAsia="仿宋_GB2312" w:cs="Times New Roman"/>
          <w:sz w:val="32"/>
          <w:szCs w:val="32"/>
          <w:lang w:val="en-US" w:eastAsia="zh-CN"/>
        </w:rPr>
        <w:t>根据年度考核任务，结合</w:t>
      </w:r>
      <w:r>
        <w:rPr>
          <w:rFonts w:hint="default" w:ascii="Times New Roman" w:hAnsi="Times New Roman" w:eastAsia="仿宋_GB2312" w:cs="Times New Roman"/>
          <w:sz w:val="32"/>
          <w:szCs w:val="32"/>
          <w:lang w:eastAsia="zh-CN"/>
        </w:rPr>
        <w:t>年度经营业绩目标责任书，</w:t>
      </w:r>
      <w:r>
        <w:rPr>
          <w:rFonts w:hint="default" w:ascii="Times New Roman" w:hAnsi="Times New Roman" w:eastAsia="仿宋_GB2312" w:cs="Times New Roman"/>
          <w:sz w:val="32"/>
          <w:szCs w:val="32"/>
          <w:lang w:val="en-US" w:eastAsia="zh-CN"/>
        </w:rPr>
        <w:t>印发年度考核通知，集中考核兴通公司等12户县属国有企业2023年度经营业绩考核目标完成情况（襄矿集团待财务年报审计后考核。考核为“好”等次企业为：惠民煤气公司、融媒集团；考核为“较好”等次企业为：兴通公司、祥民置业公司、众襄联公司、漳江集团、供水公司、世通公司；考核为“一般及差”等次企业为：襄粮兴公司、物资总公司、外贸公司、祥瑞公司。</w:t>
      </w:r>
      <w:r>
        <w:rPr>
          <w:rFonts w:hint="default" w:ascii="Times New Roman" w:hAnsi="Times New Roman" w:eastAsia="仿宋_GB2312" w:cs="Times New Roman"/>
          <w:b/>
          <w:bCs/>
          <w:sz w:val="32"/>
          <w:szCs w:val="32"/>
          <w:lang w:val="en-US" w:eastAsia="zh-CN"/>
        </w:rPr>
        <w:t>（4）违规劳动用工自查。</w:t>
      </w:r>
      <w:r>
        <w:rPr>
          <w:rFonts w:hint="default" w:ascii="Times New Roman" w:hAnsi="Times New Roman" w:eastAsia="仿宋_GB2312" w:cs="Times New Roman"/>
          <w:sz w:val="32"/>
          <w:szCs w:val="32"/>
          <w:lang w:val="en-US" w:eastAsia="zh-CN"/>
        </w:rPr>
        <w:t>根据县委、县政府安排，组织各县属国有企业自查劳动用工管理情况。目前，漳江集团等10户企业完成排查，未发现有违规劳动用工情况，其中融媒集团按照县委宣传部务会研究决定，动态增补10名劳务派遣人员。</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4.监督检查工作。（1）2023年度企业国有资产统计报表工作。</w:t>
      </w:r>
      <w:r>
        <w:rPr>
          <w:rFonts w:hint="default" w:ascii="Times New Roman" w:hAnsi="Times New Roman" w:eastAsia="仿宋_GB2312" w:cs="Times New Roman"/>
          <w:sz w:val="32"/>
          <w:szCs w:val="32"/>
        </w:rPr>
        <w:t>根据</w:t>
      </w:r>
      <w:r>
        <w:rPr>
          <w:rFonts w:hint="default" w:ascii="Times New Roman" w:hAnsi="Times New Roman" w:eastAsia="仿宋_GB2312" w:cs="Times New Roman"/>
          <w:sz w:val="32"/>
          <w:szCs w:val="32"/>
          <w:lang w:val="en-US" w:eastAsia="zh-CN"/>
        </w:rPr>
        <w:t>省、市国资委的工作安排，组织开展2023年度企业国有资产统计报表编制工作。当年国有企业统计报表报送户数为一级企业15户，审核后已按要求报送市国资委。已整理完分析报告、装订年度财务报表。</w:t>
      </w:r>
      <w:r>
        <w:rPr>
          <w:rFonts w:hint="default" w:ascii="Times New Roman" w:hAnsi="Times New Roman" w:eastAsia="仿宋_GB2312" w:cs="Times New Roman"/>
          <w:b/>
          <w:bCs/>
          <w:sz w:val="32"/>
          <w:szCs w:val="32"/>
          <w:lang w:val="en-US" w:eastAsia="zh-CN"/>
        </w:rPr>
        <w:t>（2）清理</w:t>
      </w:r>
      <w:r>
        <w:rPr>
          <w:rFonts w:hint="default" w:ascii="Times New Roman" w:hAnsi="Times New Roman" w:eastAsia="仿宋_GB2312" w:cs="Times New Roman"/>
          <w:b/>
          <w:bCs/>
          <w:sz w:val="32"/>
          <w:szCs w:val="32"/>
          <w:lang w:eastAsia="zh-CN"/>
        </w:rPr>
        <w:t>拖欠民营企业账款。</w:t>
      </w:r>
      <w:r>
        <w:rPr>
          <w:rFonts w:hint="default" w:ascii="Times New Roman" w:hAnsi="Times New Roman" w:eastAsia="仿宋_GB2312" w:cs="Times New Roman"/>
          <w:sz w:val="32"/>
          <w:szCs w:val="32"/>
          <w:lang w:eastAsia="zh-CN"/>
        </w:rPr>
        <w:t>按照县纪委关于核查办理有关拖欠企业账款问题线索的通知，对拖欠民营企业账款问题线索进行核查办理。</w:t>
      </w:r>
      <w:r>
        <w:rPr>
          <w:rFonts w:hint="default" w:ascii="Times New Roman" w:hAnsi="Times New Roman" w:eastAsia="仿宋_GB2312" w:cs="Times New Roman"/>
          <w:sz w:val="32"/>
          <w:szCs w:val="32"/>
          <w:lang w:val="en-US" w:eastAsia="zh-CN"/>
        </w:rPr>
        <w:t>截至目前，收到县属国有企业“拖欠民营企业账款”80条线索共计6220.20万元，已还清72户企业5463.49万元，剩余8户子企业756.71万元已签订还款协议。</w:t>
      </w:r>
      <w:r>
        <w:rPr>
          <w:rFonts w:hint="default" w:ascii="Times New Roman" w:hAnsi="Times New Roman" w:eastAsia="仿宋_GB2312" w:cs="Times New Roman"/>
          <w:b/>
          <w:bCs/>
          <w:sz w:val="32"/>
          <w:szCs w:val="32"/>
          <w:lang w:val="en-US" w:eastAsia="zh-CN"/>
        </w:rPr>
        <w:t>（3）注册资本金调整。</w:t>
      </w:r>
      <w:r>
        <w:rPr>
          <w:rFonts w:hint="default" w:ascii="Times New Roman" w:hAnsi="Times New Roman" w:eastAsia="仿宋_GB2312" w:cs="Times New Roman"/>
          <w:sz w:val="32"/>
          <w:szCs w:val="32"/>
          <w:lang w:eastAsia="zh-CN"/>
        </w:rPr>
        <w:t>新《公司法》</w:t>
      </w:r>
      <w:r>
        <w:rPr>
          <w:rFonts w:hint="default" w:ascii="Times New Roman" w:hAnsi="Times New Roman" w:eastAsia="仿宋_GB2312" w:cs="Times New Roman"/>
          <w:sz w:val="32"/>
          <w:szCs w:val="32"/>
          <w:lang w:val="en-US" w:eastAsia="zh-CN"/>
        </w:rPr>
        <w:t>规定“有限责任公司的注册资本为在公司登记机关登记的全体股东认缴的出资额。全体股东认缴的出资额由股东按照公司章程的规定自公司成立之日起五年内缴足。”</w:t>
      </w:r>
      <w:r>
        <w:rPr>
          <w:rFonts w:hint="default" w:ascii="Times New Roman" w:hAnsi="Times New Roman" w:eastAsia="仿宋_GB2312" w:cs="Times New Roman"/>
          <w:sz w:val="32"/>
          <w:szCs w:val="32"/>
          <w:lang w:eastAsia="zh-CN"/>
        </w:rPr>
        <w:t>2024年7月1日起施行。</w:t>
      </w:r>
      <w:r>
        <w:rPr>
          <w:rFonts w:hint="default" w:ascii="Times New Roman" w:hAnsi="Times New Roman" w:eastAsia="仿宋_GB2312" w:cs="Times New Roman"/>
          <w:sz w:val="32"/>
          <w:szCs w:val="32"/>
          <w:lang w:val="en-US" w:eastAsia="zh-CN"/>
        </w:rPr>
        <w:t>按规定</w:t>
      </w:r>
      <w:r>
        <w:rPr>
          <w:rFonts w:hint="default" w:ascii="Times New Roman" w:hAnsi="Times New Roman" w:eastAsia="仿宋_GB2312" w:cs="Times New Roman"/>
          <w:sz w:val="32"/>
          <w:szCs w:val="32"/>
          <w:lang w:eastAsia="zh-CN"/>
        </w:rPr>
        <w:t>印发了</w:t>
      </w:r>
      <w:r>
        <w:rPr>
          <w:rFonts w:hint="default" w:ascii="Times New Roman" w:hAnsi="Times New Roman" w:eastAsia="仿宋_GB2312" w:cs="Times New Roman"/>
          <w:sz w:val="32"/>
          <w:szCs w:val="32"/>
          <w:lang w:val="en-US" w:eastAsia="zh-CN"/>
        </w:rPr>
        <w:t>《关于襄垣县县属国有企业调整注册资本金的通知》，督促所监管企业2024年7月1日前及时调整注册资本金认缴金额，确保注册资本金如期实缴到位。</w:t>
      </w:r>
      <w:r>
        <w:rPr>
          <w:rFonts w:hint="default" w:ascii="Times New Roman" w:hAnsi="Times New Roman" w:eastAsia="仿宋_GB2312" w:cs="Times New Roman"/>
          <w:b/>
          <w:bCs/>
          <w:sz w:val="32"/>
          <w:szCs w:val="32"/>
          <w:lang w:val="en-US" w:eastAsia="zh-CN"/>
        </w:rPr>
        <w:t>（4）</w:t>
      </w:r>
      <w:r>
        <w:rPr>
          <w:rFonts w:hint="default" w:ascii="Times New Roman" w:hAnsi="Times New Roman" w:eastAsia="仿宋_GB2312" w:cs="Times New Roman"/>
          <w:b/>
          <w:bCs/>
          <w:sz w:val="32"/>
          <w:szCs w:val="32"/>
          <w:lang w:eastAsia="zh-CN"/>
        </w:rPr>
        <w:t>挂靠经营问题整治。</w:t>
      </w:r>
      <w:r>
        <w:rPr>
          <w:rFonts w:hint="default" w:ascii="Times New Roman" w:hAnsi="Times New Roman" w:eastAsia="仿宋_GB2312" w:cs="Times New Roman"/>
          <w:sz w:val="32"/>
          <w:szCs w:val="32"/>
          <w:lang w:eastAsia="zh-CN"/>
        </w:rPr>
        <w:t>为彻底根治挂靠经营问题，防范违规登记风险，制定</w:t>
      </w:r>
      <w:r>
        <w:rPr>
          <w:rFonts w:hint="default" w:ascii="Times New Roman" w:hAnsi="Times New Roman" w:eastAsia="仿宋_GB2312" w:cs="Times New Roman"/>
          <w:sz w:val="32"/>
          <w:szCs w:val="32"/>
          <w:lang w:val="en-US" w:eastAsia="zh-CN"/>
        </w:rPr>
        <w:t>印发了《关于严禁挂靠经营等有关事项的通知》，对</w:t>
      </w:r>
      <w:r>
        <w:rPr>
          <w:rFonts w:hint="default" w:ascii="Times New Roman" w:hAnsi="Times New Roman" w:eastAsia="仿宋_GB2312" w:cs="Times New Roman"/>
          <w:sz w:val="32"/>
          <w:szCs w:val="32"/>
          <w:lang w:eastAsia="zh-CN"/>
        </w:rPr>
        <w:t>违规挂靠行为防范处置、对外转让时更名注意事项、减少企业层级、</w:t>
      </w:r>
      <w:r>
        <w:rPr>
          <w:rFonts w:hint="default" w:ascii="Times New Roman" w:hAnsi="Times New Roman" w:eastAsia="仿宋_GB2312" w:cs="Times New Roman"/>
          <w:sz w:val="32"/>
          <w:szCs w:val="32"/>
          <w:lang w:val="en-US" w:eastAsia="zh-CN"/>
        </w:rPr>
        <w:t>对外投资管控等进行了规范明确，杜绝挂靠经营。</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5.审计反馈整改。</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lang w:val="en-US" w:eastAsia="zh-CN"/>
        </w:rPr>
        <w:t>1）关于七一集团产权改革资产损失未批复问题。</w:t>
      </w:r>
      <w:r>
        <w:rPr>
          <w:rFonts w:hint="default" w:ascii="Times New Roman" w:hAnsi="Times New Roman" w:eastAsia="仿宋_GB2312" w:cs="Times New Roman"/>
          <w:sz w:val="32"/>
          <w:szCs w:val="32"/>
          <w:lang w:val="en-US" w:eastAsia="zh-CN"/>
        </w:rPr>
        <w:t>该问题已整改。县国资局聘请山西君约律师事务所制定损失认定建议，并提供法律服务。经过法律分析，其中4.55亿减值资产已在七一集团股权转让时进行了权属转移，县国资局已丧失对该部分资产的控制权，无法再行批复核销。另外，七一集团审计报告显示，七一集团清产核资审计时认定七一能源公司的往来款、在建工程科目减值8.88亿元，在股权转让前，经县政府决策将七一能源公司无偿划出至襄垣县兴通城市建设投资管理有限公司，未转让该公司，该部分资产不应确定为减值损失。因清产核资在前，产权划转在后，故审计报告中有相应未进行转让的资产减值内容。国资局组织干部职工学习了相关清产核资审计损失认定规章制度和程序，提升业务能力。</w:t>
      </w:r>
      <w:r>
        <w:rPr>
          <w:rFonts w:hint="default" w:ascii="Times New Roman" w:hAnsi="Times New Roman" w:eastAsia="仿宋_GB2312" w:cs="Times New Roman"/>
          <w:b/>
          <w:bCs/>
          <w:sz w:val="32"/>
          <w:szCs w:val="32"/>
          <w:lang w:val="en-US" w:eastAsia="zh-CN"/>
        </w:rPr>
        <w:t>（2）关于七一集团原领导人员超发薪酬未追回问题。</w:t>
      </w:r>
      <w:r>
        <w:rPr>
          <w:rFonts w:hint="default" w:ascii="Times New Roman" w:hAnsi="Times New Roman" w:eastAsia="仿宋_GB2312" w:cs="Times New Roman"/>
          <w:sz w:val="32"/>
          <w:szCs w:val="32"/>
          <w:lang w:val="en-US" w:eastAsia="zh-CN"/>
        </w:rPr>
        <w:t>根据《关于未及时追回国有企业领导人员多领薪酬的审计整改工作报告》，按照七一集团2020年度实际考核得分95.3分重新核算企业领导人员薪酬并重新计算领导人员应退回薪酬，具体如下：2020年度七一集团领导人员应退薪酬（不含税）金额=2020年度七一集团实发薪酬总额</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按照95.3分核定应发薪酬总额</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（实发薪酬税款</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核定薪酬税款）。2020年度11位领导人员实际发放薪酬合计为450.28万元，应缴纳税款为53.08万元；按照经营业绩考核得分95.3分重新核算薪酬总额为402.17万元，应缴纳税款为45.39万元；税款差额为7.69万元，应退薪酬（不含税）金额总计为40.42万元。</w:t>
      </w:r>
      <w:r>
        <w:rPr>
          <w:rFonts w:hint="default" w:ascii="Times New Roman" w:hAnsi="Times New Roman" w:eastAsia="仿宋_GB2312" w:cs="Times New Roman"/>
          <w:b/>
          <w:bCs/>
          <w:sz w:val="32"/>
          <w:szCs w:val="32"/>
          <w:lang w:val="en-US" w:eastAsia="zh-CN"/>
        </w:rPr>
        <w:t>（3）关于县属国有“僵尸企业”处置缓慢问题。</w:t>
      </w:r>
      <w:r>
        <w:rPr>
          <w:rFonts w:hint="default" w:ascii="Times New Roman" w:hAnsi="Times New Roman" w:eastAsia="仿宋_GB2312" w:cs="Times New Roman"/>
          <w:sz w:val="32"/>
          <w:szCs w:val="32"/>
          <w:lang w:val="en-US" w:eastAsia="zh-CN"/>
        </w:rPr>
        <w:t>该问题正在整改。</w:t>
      </w:r>
      <w:r>
        <w:rPr>
          <w:rFonts w:hint="default" w:ascii="Times New Roman" w:hAnsi="Times New Roman" w:eastAsia="仿宋_GB2312" w:cs="Times New Roman"/>
          <w:sz w:val="32"/>
          <w:szCs w:val="32"/>
        </w:rPr>
        <w:t>根据清产核资</w:t>
      </w:r>
      <w:r>
        <w:rPr>
          <w:rFonts w:hint="default" w:ascii="Times New Roman" w:hAnsi="Times New Roman" w:eastAsia="仿宋_GB2312" w:cs="Times New Roman"/>
          <w:sz w:val="32"/>
          <w:szCs w:val="32"/>
          <w:lang w:val="en-US" w:eastAsia="zh-CN"/>
        </w:rPr>
        <w:t>结果</w:t>
      </w:r>
      <w:r>
        <w:rPr>
          <w:rFonts w:hint="default" w:ascii="Times New Roman" w:hAnsi="Times New Roman" w:eastAsia="仿宋_GB2312" w:cs="Times New Roman"/>
          <w:sz w:val="32"/>
          <w:szCs w:val="32"/>
        </w:rPr>
        <w:t>，筛查</w:t>
      </w:r>
      <w:r>
        <w:rPr>
          <w:rFonts w:hint="default" w:ascii="Times New Roman" w:hAnsi="Times New Roman" w:eastAsia="仿宋_GB2312" w:cs="Times New Roman"/>
          <w:sz w:val="32"/>
          <w:szCs w:val="32"/>
          <w:lang w:eastAsia="zh-CN"/>
        </w:rPr>
        <w:t>确定</w:t>
      </w:r>
      <w:r>
        <w:rPr>
          <w:rFonts w:hint="default" w:ascii="Times New Roman" w:hAnsi="Times New Roman" w:eastAsia="仿宋_GB2312" w:cs="Times New Roman"/>
          <w:sz w:val="32"/>
          <w:szCs w:val="32"/>
        </w:rPr>
        <w:t>“僵尸企业”27户</w:t>
      </w:r>
      <w:r>
        <w:rPr>
          <w:rFonts w:hint="default" w:ascii="Times New Roman" w:hAnsi="Times New Roman" w:eastAsia="仿宋_GB2312" w:cs="Times New Roman"/>
          <w:sz w:val="32"/>
          <w:szCs w:val="32"/>
          <w:lang w:eastAsia="zh-CN"/>
        </w:rPr>
        <w:t>，现已完成处置</w:t>
      </w:r>
      <w:r>
        <w:rPr>
          <w:rFonts w:hint="default" w:ascii="Times New Roman" w:hAnsi="Times New Roman" w:eastAsia="仿宋_GB2312" w:cs="Times New Roman"/>
          <w:sz w:val="32"/>
          <w:szCs w:val="32"/>
          <w:lang w:val="en-US" w:eastAsia="zh-CN"/>
        </w:rPr>
        <w:t>14户。</w:t>
      </w:r>
      <w:r>
        <w:rPr>
          <w:rFonts w:hint="default" w:ascii="Times New Roman" w:hAnsi="Times New Roman" w:eastAsia="仿宋_GB2312" w:cs="Times New Roman"/>
          <w:sz w:val="32"/>
          <w:szCs w:val="32"/>
          <w:lang w:eastAsia="zh-CN"/>
        </w:rPr>
        <w:t>正积极</w:t>
      </w:r>
      <w:r>
        <w:rPr>
          <w:rFonts w:hint="default" w:ascii="Times New Roman" w:hAnsi="Times New Roman" w:eastAsia="仿宋_GB2312" w:cs="Times New Roman"/>
          <w:sz w:val="32"/>
          <w:szCs w:val="32"/>
        </w:rPr>
        <w:t>推进县襄粮兴公司、县众襄联公司所属1</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户“僵尸企业”的处置。</w:t>
      </w:r>
      <w:r>
        <w:rPr>
          <w:rFonts w:hint="default" w:ascii="Times New Roman" w:hAnsi="Times New Roman" w:eastAsia="仿宋_GB2312" w:cs="Times New Roman"/>
          <w:sz w:val="32"/>
          <w:szCs w:val="32"/>
          <w:lang w:eastAsia="zh-CN"/>
        </w:rPr>
        <w:t>目前，</w:t>
      </w:r>
      <w:r>
        <w:rPr>
          <w:rFonts w:hint="default" w:ascii="Times New Roman" w:hAnsi="Times New Roman" w:eastAsia="仿宋_GB2312" w:cs="Times New Roman"/>
          <w:sz w:val="32"/>
          <w:szCs w:val="32"/>
          <w:lang w:val="en-US" w:eastAsia="zh-CN"/>
        </w:rPr>
        <w:t>县众襄联公司正宣讲审议《关闭清算之职工安置方案》。襄粮兴公司制定了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襄粮兴公司、古韩粮站、县粮油加工厂兼并重组暨资产处置改革实施方案</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《县粮油加工厂兼并重组改革资产（土地）处置方案》，正稳步推进。</w:t>
      </w:r>
      <w:r>
        <w:rPr>
          <w:rFonts w:hint="default" w:ascii="Times New Roman" w:hAnsi="Times New Roman" w:eastAsia="仿宋_GB2312" w:cs="Times New Roman"/>
          <w:b/>
          <w:bCs/>
          <w:sz w:val="32"/>
          <w:szCs w:val="32"/>
          <w:lang w:val="en-US" w:eastAsia="zh-CN"/>
        </w:rPr>
        <w:t>（4）祥民置业公司资产处置问题整改。</w:t>
      </w:r>
      <w:r>
        <w:rPr>
          <w:rFonts w:hint="default" w:ascii="Times New Roman" w:hAnsi="Times New Roman" w:eastAsia="仿宋_GB2312" w:cs="Times New Roman"/>
          <w:sz w:val="32"/>
          <w:szCs w:val="32"/>
          <w:lang w:val="en-US" w:eastAsia="zh-CN"/>
        </w:rPr>
        <w:t>2022年祥民置业公司在处置固定资产工作中未按照《企业国有资产评估管理暂行办法》等有关规定开展资产评估，报废清理金额为4110372.42元。县国资局根据《企业国有资产评估管理暂行办法》（国资令第12号）第二十七条，给予祥民置业公司通报批评处分，并责令限期半年完成整改；责令祥民置业公司聘请第三方中介机构对相关资产进行清产核资，按照《国有企业清产核资办法》和《国有企业资产损失认定工作规则》，对可核销部分资产依法依规进行核销；对账实不符部分资产，依法依规进行损失认定并采取追索程序，确保国有资产不流失；如存在违规违纪问题，及时报相关部门。</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val="en-US" w:eastAsia="zh-CN"/>
        </w:rPr>
        <w:t>6.</w:t>
      </w:r>
      <w:r>
        <w:rPr>
          <w:rFonts w:hint="default" w:ascii="Times New Roman" w:hAnsi="Times New Roman" w:eastAsia="仿宋_GB2312" w:cs="Times New Roman"/>
          <w:b/>
          <w:bCs/>
          <w:sz w:val="32"/>
          <w:szCs w:val="32"/>
        </w:rPr>
        <w:t>七一集团内退人员管理。</w:t>
      </w:r>
      <w:r>
        <w:rPr>
          <w:rFonts w:hint="default" w:ascii="Times New Roman" w:hAnsi="Times New Roman" w:eastAsia="仿宋_GB2312" w:cs="Times New Roman"/>
          <w:sz w:val="32"/>
          <w:szCs w:val="32"/>
        </w:rPr>
        <w:t>目前管理内退职工和遗属</w:t>
      </w:r>
      <w:r>
        <w:rPr>
          <w:rFonts w:hint="default" w:ascii="Times New Roman" w:hAnsi="Times New Roman" w:eastAsia="仿宋_GB2312" w:cs="Times New Roman"/>
          <w:sz w:val="32"/>
          <w:szCs w:val="32"/>
          <w:lang w:val="en-US" w:eastAsia="zh-CN"/>
        </w:rPr>
        <w:t>152</w:t>
      </w:r>
      <w:r>
        <w:rPr>
          <w:rFonts w:hint="default" w:ascii="Times New Roman" w:hAnsi="Times New Roman" w:eastAsia="仿宋_GB2312" w:cs="Times New Roman"/>
          <w:sz w:val="32"/>
          <w:szCs w:val="32"/>
        </w:rPr>
        <w:t>人，协保3</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人，退休职工</w:t>
      </w:r>
      <w:r>
        <w:rPr>
          <w:rFonts w:hint="default" w:ascii="Times New Roman" w:hAnsi="Times New Roman" w:eastAsia="仿宋_GB2312" w:cs="Times New Roman"/>
          <w:sz w:val="32"/>
          <w:szCs w:val="32"/>
          <w:lang w:val="en-US" w:eastAsia="zh-CN"/>
        </w:rPr>
        <w:t>223</w:t>
      </w:r>
      <w:r>
        <w:rPr>
          <w:rFonts w:hint="default" w:ascii="Times New Roman" w:hAnsi="Times New Roman" w:eastAsia="仿宋_GB2312" w:cs="Times New Roman"/>
          <w:sz w:val="32"/>
          <w:szCs w:val="32"/>
        </w:rPr>
        <w:t>人，</w:t>
      </w:r>
      <w:r>
        <w:rPr>
          <w:rFonts w:hint="default" w:ascii="Times New Roman" w:hAnsi="Times New Roman" w:eastAsia="仿宋_GB2312" w:cs="Times New Roman"/>
          <w:sz w:val="32"/>
          <w:szCs w:val="32"/>
          <w:lang w:val="en-US" w:eastAsia="zh-CN"/>
        </w:rPr>
        <w:t>1—6月份</w:t>
      </w:r>
      <w:r>
        <w:rPr>
          <w:rFonts w:hint="default" w:ascii="Times New Roman" w:hAnsi="Times New Roman" w:eastAsia="仿宋_GB2312" w:cs="Times New Roman"/>
          <w:sz w:val="32"/>
          <w:szCs w:val="32"/>
        </w:rPr>
        <w:t>支出</w:t>
      </w:r>
      <w:r>
        <w:rPr>
          <w:rFonts w:hint="default" w:ascii="Times New Roman" w:hAnsi="Times New Roman" w:eastAsia="仿宋_GB2312" w:cs="Times New Roman"/>
          <w:sz w:val="32"/>
          <w:szCs w:val="32"/>
          <w:lang w:val="en-US" w:eastAsia="zh-CN"/>
        </w:rPr>
        <w:t>323.63</w:t>
      </w:r>
      <w:r>
        <w:rPr>
          <w:rFonts w:hint="default" w:ascii="Times New Roman" w:hAnsi="Times New Roman" w:eastAsia="仿宋_GB2312" w:cs="Times New Roman"/>
          <w:sz w:val="32"/>
          <w:szCs w:val="32"/>
        </w:rPr>
        <w:t>万元，其中内退工资</w:t>
      </w:r>
      <w:r>
        <w:rPr>
          <w:rFonts w:hint="default" w:ascii="Times New Roman" w:hAnsi="Times New Roman" w:eastAsia="仿宋_GB2312" w:cs="Times New Roman"/>
          <w:sz w:val="32"/>
          <w:szCs w:val="32"/>
          <w:lang w:val="en-US" w:eastAsia="zh-CN"/>
        </w:rPr>
        <w:t>147.81</w:t>
      </w:r>
      <w:r>
        <w:rPr>
          <w:rFonts w:hint="default" w:ascii="Times New Roman" w:hAnsi="Times New Roman" w:eastAsia="仿宋_GB2312" w:cs="Times New Roman"/>
          <w:sz w:val="32"/>
          <w:szCs w:val="32"/>
        </w:rPr>
        <w:t>万元，公积金集体部分</w:t>
      </w:r>
      <w:r>
        <w:rPr>
          <w:rFonts w:hint="default" w:ascii="Times New Roman" w:hAnsi="Times New Roman" w:eastAsia="仿宋_GB2312" w:cs="Times New Roman"/>
          <w:sz w:val="32"/>
          <w:szCs w:val="32"/>
          <w:lang w:val="en-US" w:eastAsia="zh-CN"/>
        </w:rPr>
        <w:t>14.95</w:t>
      </w:r>
      <w:r>
        <w:rPr>
          <w:rFonts w:hint="default" w:ascii="Times New Roman" w:hAnsi="Times New Roman" w:eastAsia="仿宋_GB2312" w:cs="Times New Roman"/>
          <w:sz w:val="32"/>
          <w:szCs w:val="32"/>
        </w:rPr>
        <w:t>万元；养老保险内退职工集体部分</w:t>
      </w:r>
      <w:r>
        <w:rPr>
          <w:rFonts w:hint="default" w:ascii="Times New Roman" w:hAnsi="Times New Roman" w:eastAsia="仿宋_GB2312" w:cs="Times New Roman"/>
          <w:sz w:val="32"/>
          <w:szCs w:val="32"/>
          <w:lang w:val="en-US" w:eastAsia="zh-CN"/>
        </w:rPr>
        <w:t>48.76</w:t>
      </w:r>
      <w:r>
        <w:rPr>
          <w:rFonts w:hint="default" w:ascii="Times New Roman" w:hAnsi="Times New Roman" w:eastAsia="仿宋_GB2312" w:cs="Times New Roman"/>
          <w:sz w:val="32"/>
          <w:szCs w:val="32"/>
        </w:rPr>
        <w:t>万元，协保人员集体部分</w:t>
      </w:r>
      <w:r>
        <w:rPr>
          <w:rFonts w:hint="default" w:ascii="Times New Roman" w:hAnsi="Times New Roman" w:eastAsia="仿宋_GB2312" w:cs="Times New Roman"/>
          <w:sz w:val="32"/>
          <w:szCs w:val="32"/>
          <w:lang w:val="en-US" w:eastAsia="zh-CN"/>
        </w:rPr>
        <w:t>6.03</w:t>
      </w:r>
      <w:r>
        <w:rPr>
          <w:rFonts w:hint="default" w:ascii="Times New Roman" w:hAnsi="Times New Roman" w:eastAsia="仿宋_GB2312" w:cs="Times New Roman"/>
          <w:sz w:val="32"/>
          <w:szCs w:val="32"/>
        </w:rPr>
        <w:t>万元；内退职工医疗保险集体部分</w:t>
      </w:r>
      <w:r>
        <w:rPr>
          <w:rFonts w:hint="default" w:ascii="Times New Roman" w:hAnsi="Times New Roman" w:eastAsia="仿宋_GB2312" w:cs="Times New Roman"/>
          <w:sz w:val="32"/>
          <w:szCs w:val="32"/>
          <w:lang w:val="en-US" w:eastAsia="zh-CN"/>
        </w:rPr>
        <w:t>18.33</w:t>
      </w:r>
      <w:r>
        <w:rPr>
          <w:rFonts w:hint="default" w:ascii="Times New Roman" w:hAnsi="Times New Roman" w:eastAsia="仿宋_GB2312" w:cs="Times New Roman"/>
          <w:sz w:val="32"/>
          <w:szCs w:val="32"/>
        </w:rPr>
        <w:t>万元、协保人员医疗保险集体部分</w:t>
      </w:r>
      <w:r>
        <w:rPr>
          <w:rFonts w:hint="default" w:ascii="Times New Roman" w:hAnsi="Times New Roman" w:eastAsia="仿宋_GB2312" w:cs="Times New Roman"/>
          <w:sz w:val="32"/>
          <w:szCs w:val="32"/>
          <w:lang w:val="en-US" w:eastAsia="zh-CN"/>
        </w:rPr>
        <w:t>1.85</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退休职工大病0.36元；</w:t>
      </w:r>
      <w:r>
        <w:rPr>
          <w:rFonts w:hint="default" w:ascii="Times New Roman" w:hAnsi="Times New Roman" w:eastAsia="仿宋_GB2312" w:cs="Times New Roman"/>
          <w:sz w:val="32"/>
          <w:szCs w:val="32"/>
        </w:rPr>
        <w:t>医保</w:t>
      </w:r>
      <w:r>
        <w:rPr>
          <w:rFonts w:hint="default" w:ascii="Times New Roman" w:hAnsi="Times New Roman" w:eastAsia="仿宋_GB2312" w:cs="Times New Roman"/>
          <w:sz w:val="32"/>
          <w:szCs w:val="32"/>
          <w:lang w:val="en-US" w:eastAsia="zh-CN"/>
        </w:rPr>
        <w:t>退休一次性补缴85.54万</w:t>
      </w:r>
      <w:r>
        <w:rPr>
          <w:rFonts w:hint="default" w:ascii="Times New Roman" w:hAnsi="Times New Roman" w:eastAsia="仿宋_GB2312" w:cs="Times New Roman"/>
          <w:sz w:val="32"/>
          <w:szCs w:val="32"/>
        </w:rPr>
        <w:t>元</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val="en-US" w:eastAsia="zh-CN"/>
        </w:rPr>
        <w:t>7.破产企业“内养”工作。</w:t>
      </w:r>
      <w:r>
        <w:rPr>
          <w:rFonts w:hint="default" w:ascii="Times New Roman" w:hAnsi="Times New Roman" w:eastAsia="仿宋_GB2312" w:cs="Times New Roman"/>
          <w:sz w:val="32"/>
          <w:szCs w:val="32"/>
        </w:rPr>
        <w:t>国资中心发放内养生活费企业共6户，</w:t>
      </w:r>
      <w:r>
        <w:rPr>
          <w:rFonts w:hint="default" w:ascii="Times New Roman" w:hAnsi="Times New Roman" w:eastAsia="仿宋_GB2312" w:cs="Times New Roman"/>
          <w:sz w:val="32"/>
          <w:szCs w:val="32"/>
          <w:lang w:val="en-US" w:eastAsia="zh-CN"/>
        </w:rPr>
        <w:t>目前管理的</w:t>
      </w:r>
      <w:r>
        <w:rPr>
          <w:rFonts w:hint="default" w:ascii="Times New Roman" w:hAnsi="Times New Roman" w:eastAsia="仿宋_GB2312" w:cs="Times New Roman"/>
          <w:sz w:val="32"/>
          <w:szCs w:val="32"/>
        </w:rPr>
        <w:t>内养职工</w:t>
      </w:r>
      <w:r>
        <w:rPr>
          <w:rFonts w:hint="default" w:ascii="Times New Roman" w:hAnsi="Times New Roman" w:eastAsia="仿宋_GB2312" w:cs="Times New Roman"/>
          <w:sz w:val="32"/>
          <w:szCs w:val="32"/>
          <w:lang w:val="en-US" w:eastAsia="zh-CN"/>
        </w:rPr>
        <w:t>82</w:t>
      </w:r>
      <w:r>
        <w:rPr>
          <w:rFonts w:hint="default" w:ascii="Times New Roman" w:hAnsi="Times New Roman" w:eastAsia="仿宋_GB2312" w:cs="Times New Roman"/>
          <w:sz w:val="32"/>
          <w:szCs w:val="32"/>
        </w:rPr>
        <w:t>人。</w:t>
      </w:r>
      <w:r>
        <w:rPr>
          <w:rFonts w:hint="default" w:ascii="Times New Roman" w:hAnsi="Times New Roman" w:eastAsia="仿宋_GB2312" w:cs="Times New Roman"/>
          <w:sz w:val="32"/>
          <w:szCs w:val="32"/>
          <w:lang w:val="en-US" w:eastAsia="zh-CN"/>
        </w:rPr>
        <w:t>1—6月份</w:t>
      </w:r>
      <w:r>
        <w:rPr>
          <w:rFonts w:hint="default" w:ascii="Times New Roman" w:hAnsi="Times New Roman" w:eastAsia="仿宋_GB2312" w:cs="Times New Roman"/>
          <w:sz w:val="32"/>
          <w:szCs w:val="32"/>
        </w:rPr>
        <w:t>共支出</w:t>
      </w:r>
      <w:r>
        <w:rPr>
          <w:rFonts w:hint="default" w:ascii="Times New Roman" w:hAnsi="Times New Roman" w:eastAsia="仿宋_GB2312" w:cs="Times New Roman"/>
          <w:sz w:val="32"/>
          <w:szCs w:val="32"/>
          <w:lang w:val="en-US" w:eastAsia="zh-CN"/>
        </w:rPr>
        <w:t>107.1万元</w:t>
      </w:r>
      <w:r>
        <w:rPr>
          <w:rFonts w:hint="default" w:ascii="Times New Roman" w:hAnsi="Times New Roman" w:eastAsia="仿宋_GB2312" w:cs="Times New Roman"/>
          <w:sz w:val="32"/>
          <w:szCs w:val="32"/>
        </w:rPr>
        <w:t>。其中：生活补助费</w:t>
      </w:r>
      <w:r>
        <w:rPr>
          <w:rFonts w:hint="default" w:ascii="Times New Roman" w:hAnsi="Times New Roman" w:eastAsia="仿宋_GB2312" w:cs="Times New Roman"/>
          <w:sz w:val="32"/>
          <w:szCs w:val="32"/>
          <w:lang w:val="en-US" w:eastAsia="zh-CN"/>
        </w:rPr>
        <w:t>60.97万元</w:t>
      </w:r>
      <w:r>
        <w:rPr>
          <w:rFonts w:hint="default" w:ascii="Times New Roman" w:hAnsi="Times New Roman" w:eastAsia="仿宋_GB2312" w:cs="Times New Roman"/>
          <w:sz w:val="32"/>
          <w:szCs w:val="32"/>
        </w:rPr>
        <w:t>；养老保险集体部分</w:t>
      </w:r>
      <w:r>
        <w:rPr>
          <w:rFonts w:hint="default" w:ascii="Times New Roman" w:hAnsi="Times New Roman" w:eastAsia="仿宋_GB2312" w:cs="Times New Roman"/>
          <w:sz w:val="32"/>
          <w:szCs w:val="32"/>
          <w:lang w:val="en-US" w:eastAsia="zh-CN"/>
        </w:rPr>
        <w:t>32.14万元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医疗保险集体部分</w:t>
      </w:r>
      <w:r>
        <w:rPr>
          <w:rFonts w:hint="default" w:ascii="Times New Roman" w:hAnsi="Times New Roman" w:eastAsia="仿宋_GB2312" w:cs="Times New Roman"/>
          <w:sz w:val="32"/>
          <w:szCs w:val="32"/>
          <w:lang w:val="en-US" w:eastAsia="zh-CN"/>
        </w:rPr>
        <w:t>13.94元</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三、县属国有企业重点工作落实情况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 w:cs="Times New Roman"/>
          <w:sz w:val="32"/>
          <w:szCs w:val="32"/>
          <w:lang w:val="en-US" w:eastAsia="zh-CN"/>
        </w:rPr>
        <w:t>（一）水务集团：</w:t>
      </w:r>
      <w:r>
        <w:rPr>
          <w:rFonts w:hint="default" w:ascii="Times New Roman" w:hAnsi="Times New Roman" w:eastAsia="仿宋_GB2312" w:cs="Times New Roman"/>
          <w:b/>
          <w:bCs/>
          <w:sz w:val="32"/>
          <w:szCs w:val="32"/>
          <w:lang w:val="en-US" w:eastAsia="zh-CN"/>
        </w:rPr>
        <w:t>1.水价调整。</w:t>
      </w:r>
      <w:r>
        <w:rPr>
          <w:rFonts w:hint="default" w:ascii="Times New Roman" w:hAnsi="Times New Roman" w:eastAsia="仿宋_GB2312" w:cs="Times New Roman"/>
          <w:sz w:val="32"/>
          <w:szCs w:val="32"/>
          <w:lang w:val="en-US" w:eastAsia="zh-CN"/>
        </w:rPr>
        <w:t>已与县发改局沟通，正在编制水价调整方案。</w:t>
      </w:r>
      <w:r>
        <w:rPr>
          <w:rFonts w:hint="default" w:ascii="Times New Roman" w:hAnsi="Times New Roman" w:eastAsia="仿宋_GB2312" w:cs="Times New Roman"/>
          <w:b/>
          <w:bCs/>
          <w:sz w:val="32"/>
          <w:szCs w:val="32"/>
          <w:lang w:val="en-US" w:eastAsia="zh-CN"/>
        </w:rPr>
        <w:t>2.老旧管网改造项目。</w:t>
      </w:r>
      <w:r>
        <w:rPr>
          <w:rFonts w:hint="default" w:ascii="Times New Roman" w:hAnsi="Times New Roman" w:eastAsia="仿宋_GB2312" w:cs="Times New Roman"/>
          <w:sz w:val="32"/>
          <w:szCs w:val="32"/>
          <w:lang w:val="en-US" w:eastAsia="zh-CN"/>
        </w:rPr>
        <w:t>已完成前期手续办理，正在建设。</w:t>
      </w:r>
      <w:r>
        <w:rPr>
          <w:rFonts w:hint="default" w:ascii="Times New Roman" w:hAnsi="Times New Roman" w:eastAsia="仿宋_GB2312" w:cs="Times New Roman"/>
          <w:b/>
          <w:bCs/>
          <w:sz w:val="32"/>
          <w:szCs w:val="32"/>
          <w:lang w:val="en-US" w:eastAsia="zh-CN"/>
        </w:rPr>
        <w:t>3.再生水回用项目。</w:t>
      </w:r>
      <w:r>
        <w:rPr>
          <w:rFonts w:hint="default" w:ascii="Times New Roman" w:hAnsi="Times New Roman" w:eastAsia="仿宋_GB2312" w:cs="Times New Roman"/>
          <w:sz w:val="32"/>
          <w:szCs w:val="32"/>
          <w:lang w:val="en-US" w:eastAsia="zh-CN"/>
        </w:rPr>
        <w:t>已完成可研批复、勘察设计费用预审、勘察工作、设计招投标和初步设计编制，待专家评审。</w:t>
      </w:r>
      <w:r>
        <w:rPr>
          <w:rFonts w:hint="default" w:ascii="Times New Roman" w:hAnsi="Times New Roman" w:eastAsia="仿宋_GB2312" w:cs="Times New Roman"/>
          <w:b/>
          <w:bCs/>
          <w:sz w:val="32"/>
          <w:szCs w:val="32"/>
          <w:lang w:val="en-US" w:eastAsia="zh-CN"/>
        </w:rPr>
        <w:t>4.后湾引水项目。</w:t>
      </w:r>
      <w:r>
        <w:rPr>
          <w:rFonts w:hint="default" w:ascii="Times New Roman" w:hAnsi="Times New Roman" w:eastAsia="仿宋_GB2312" w:cs="Times New Roman"/>
          <w:sz w:val="32"/>
          <w:szCs w:val="32"/>
          <w:lang w:val="en-US" w:eastAsia="zh-CN"/>
        </w:rPr>
        <w:t>已完成可研批复、勘界、核查、预公告发布、初步设计编制，正在逐级上报申请。</w:t>
      </w:r>
      <w:r>
        <w:rPr>
          <w:rFonts w:hint="default" w:ascii="Times New Roman" w:hAnsi="Times New Roman" w:eastAsia="仿宋_GB2312" w:cs="Times New Roman"/>
          <w:b/>
          <w:bCs/>
          <w:sz w:val="32"/>
          <w:szCs w:val="32"/>
          <w:lang w:val="en-US" w:eastAsia="zh-CN"/>
        </w:rPr>
        <w:t>5.置换农商行4300余万元高成本贷款。</w:t>
      </w:r>
      <w:r>
        <w:rPr>
          <w:rFonts w:hint="default" w:ascii="Times New Roman" w:hAnsi="Times New Roman" w:eastAsia="仿宋_GB2312" w:cs="Times New Roman"/>
          <w:sz w:val="32"/>
          <w:szCs w:val="32"/>
          <w:lang w:val="en-US" w:eastAsia="zh-CN"/>
        </w:rPr>
        <w:t>经与中国农业发展银行襄垣县支行接洽，工程项目贷款需专款专用，不可进行贷款置换。</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 w:cs="Times New Roman"/>
          <w:sz w:val="32"/>
          <w:szCs w:val="32"/>
          <w:lang w:val="en-US" w:eastAsia="zh-CN"/>
        </w:rPr>
        <w:t>（二）兴通公司：</w:t>
      </w:r>
      <w:r>
        <w:rPr>
          <w:rFonts w:hint="default" w:ascii="Times New Roman" w:hAnsi="Times New Roman" w:eastAsia="仿宋_GB2312" w:cs="Times New Roman"/>
          <w:b/>
          <w:bCs/>
          <w:sz w:val="32"/>
          <w:szCs w:val="32"/>
          <w:lang w:val="en-US" w:eastAsia="zh-CN"/>
        </w:rPr>
        <w:t>1.十六个公益项目移交。</w:t>
      </w:r>
      <w:r>
        <w:rPr>
          <w:rFonts w:hint="default" w:ascii="Times New Roman" w:hAnsi="Times New Roman" w:eastAsia="仿宋_GB2312" w:cs="Times New Roman"/>
          <w:sz w:val="32"/>
          <w:szCs w:val="32"/>
          <w:lang w:val="en-US" w:eastAsia="zh-CN"/>
        </w:rPr>
        <w:t>全面摸底梳理工作已经完成并形成了工作报告，与涉及的移交单位县住建局、融媒集团进行沟通。拟请示县领导召开专题工作会议协调推进。</w:t>
      </w:r>
      <w:r>
        <w:rPr>
          <w:rFonts w:hint="default" w:ascii="Times New Roman" w:hAnsi="Times New Roman" w:eastAsia="仿宋_GB2312" w:cs="Times New Roman"/>
          <w:b/>
          <w:bCs/>
          <w:sz w:val="32"/>
          <w:szCs w:val="32"/>
          <w:lang w:val="en-US" w:eastAsia="zh-CN"/>
        </w:rPr>
        <w:t>2.布鑫广场夜经济项目。</w:t>
      </w:r>
      <w:r>
        <w:rPr>
          <w:rFonts w:hint="default" w:ascii="Times New Roman" w:hAnsi="Times New Roman" w:eastAsia="仿宋_GB2312" w:cs="Times New Roman"/>
          <w:sz w:val="32"/>
          <w:szCs w:val="32"/>
          <w:lang w:val="en-US" w:eastAsia="zh-CN"/>
        </w:rPr>
        <w:t>布鑫广场地下停车场纠纷，正通过法律途径解决与商场业主的纠纷问题，解决商场业主占用居民车位问题。二是为推动布鑫广场夜经济项目顺利进行，公司管理人员先后到北京专业运管管理公司、太原市区、忻州市区、定襄县商业街与游乐场所实地考察学习，并及时向县分管领导汇报。</w:t>
      </w:r>
      <w:r>
        <w:rPr>
          <w:rFonts w:hint="default" w:ascii="Times New Roman" w:hAnsi="Times New Roman" w:eastAsia="仿宋_GB2312" w:cs="Times New Roman"/>
          <w:b/>
          <w:bCs/>
          <w:sz w:val="32"/>
          <w:szCs w:val="32"/>
          <w:lang w:val="en-US" w:eastAsia="zh-CN"/>
        </w:rPr>
        <w:t>3.解决七一能源和安泰地产公司历史遗留问题。</w:t>
      </w:r>
      <w:r>
        <w:rPr>
          <w:rFonts w:hint="default" w:ascii="Times New Roman" w:hAnsi="Times New Roman" w:eastAsia="仿宋_GB2312" w:cs="Times New Roman"/>
          <w:sz w:val="32"/>
          <w:szCs w:val="32"/>
          <w:lang w:val="en-US" w:eastAsia="zh-CN"/>
        </w:rPr>
        <w:t>一是已通过公开选聘确定编制实施方案的中介机构，与中标机构签订服务合同。二是市平台公司正在积极组建原油储备产业基金。按照原先的计划基金方案市财通内部已上会通过，目前正在按长治市新的产业基金管理办法和市里沟通，等待市常务会上会研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 w:cs="Times New Roman"/>
          <w:sz w:val="32"/>
          <w:szCs w:val="32"/>
          <w:lang w:val="en-US" w:eastAsia="zh-CN"/>
        </w:rPr>
        <w:t>（三）漳江集团：</w:t>
      </w:r>
      <w:r>
        <w:rPr>
          <w:rFonts w:hint="default" w:ascii="Times New Roman" w:hAnsi="Times New Roman" w:eastAsia="仿宋_GB2312" w:cs="Times New Roman"/>
          <w:b/>
          <w:bCs/>
          <w:sz w:val="32"/>
          <w:szCs w:val="32"/>
          <w:lang w:val="en-US" w:eastAsia="zh-CN"/>
        </w:rPr>
        <w:t>1.“下山出沟”工程审计整改。</w:t>
      </w:r>
      <w:r>
        <w:rPr>
          <w:rFonts w:hint="default" w:ascii="Times New Roman" w:hAnsi="Times New Roman" w:eastAsia="仿宋_GB2312" w:cs="Times New Roman"/>
          <w:sz w:val="32"/>
          <w:szCs w:val="32"/>
          <w:lang w:val="en-US" w:eastAsia="zh-CN"/>
        </w:rPr>
        <w:t>目前，漳江集团12户乡镇子公司有7户子公司已完成清产核资审计工作；2户子公司清产核资审计报告已出，因资金不到位尚未取得报告。</w:t>
      </w:r>
      <w:r>
        <w:rPr>
          <w:rFonts w:hint="default" w:ascii="Times New Roman" w:hAnsi="Times New Roman" w:eastAsia="仿宋_GB2312" w:cs="Times New Roman"/>
          <w:b/>
          <w:bCs/>
          <w:sz w:val="32"/>
          <w:szCs w:val="32"/>
          <w:lang w:val="en-US" w:eastAsia="zh-CN"/>
        </w:rPr>
        <w:t>2.注销三江鸿泰贸易公司。</w:t>
      </w:r>
      <w:r>
        <w:rPr>
          <w:rFonts w:hint="default" w:ascii="Times New Roman" w:hAnsi="Times New Roman" w:eastAsia="仿宋_GB2312" w:cs="Times New Roman"/>
          <w:sz w:val="32"/>
          <w:szCs w:val="32"/>
          <w:lang w:val="en-US" w:eastAsia="zh-CN"/>
        </w:rPr>
        <w:t>正处理三江鸿泰公司司法诉讼后续工作，办理税务清税和银行账户清户工作。3.中云芯公司原股东涉嫌侵占国有股东利益事宜，已聘请金杜律师事务所进行维权。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w:t>
      </w:r>
      <w:r>
        <w:rPr>
          <w:rFonts w:hint="default" w:ascii="Times New Roman" w:hAnsi="Times New Roman" w:eastAsia="楷体" w:cs="Times New Roman"/>
          <w:sz w:val="32"/>
          <w:szCs w:val="32"/>
          <w:lang w:val="en-US" w:eastAsia="zh-CN"/>
        </w:rPr>
        <w:t>四）煤气公司：</w:t>
      </w:r>
      <w:r>
        <w:rPr>
          <w:rFonts w:hint="default" w:ascii="Times New Roman" w:hAnsi="Times New Roman" w:eastAsia="仿宋_GB2312" w:cs="Times New Roman"/>
          <w:sz w:val="32"/>
          <w:szCs w:val="32"/>
          <w:lang w:val="en-US" w:eastAsia="zh-CN"/>
        </w:rPr>
        <w:t>燃气价格调整。县发改局已完成天然气气价倒挂核定，发布第一次公告，正制定调价方案。</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 w:cs="Times New Roman"/>
          <w:sz w:val="32"/>
          <w:szCs w:val="32"/>
          <w:lang w:val="en-US" w:eastAsia="zh-CN"/>
        </w:rPr>
        <w:t>（五）物资公司：</w:t>
      </w:r>
      <w:r>
        <w:rPr>
          <w:rFonts w:hint="default" w:ascii="Times New Roman" w:hAnsi="Times New Roman" w:eastAsia="仿宋_GB2312" w:cs="Times New Roman"/>
          <w:sz w:val="32"/>
          <w:szCs w:val="32"/>
          <w:lang w:val="en-US" w:eastAsia="zh-CN"/>
        </w:rPr>
        <w:t>馨宝公司复垦梨树地1347.3亩，其中：善福镇东宁静村294.07亩、东岭上村113.68亩、东岸底村171.16亩；虒亭镇返头村645.45亩、丰岩村122.94亩。华诚公司和长治国华绿电能源有限公司目前初步达成股权转让协议，正由长治市诚信资产评估公司、山西勤信会计师务所、山西维尼律师事务所三家公司开展审计、评估工作。正在通过法律程序理顺木材公司租赁合同问题；</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 w:cs="Times New Roman"/>
          <w:sz w:val="32"/>
          <w:szCs w:val="32"/>
          <w:lang w:val="en-US" w:eastAsia="zh-CN"/>
        </w:rPr>
        <w:t>（六）祥民公司：</w:t>
      </w:r>
      <w:r>
        <w:rPr>
          <w:rFonts w:hint="default" w:ascii="Times New Roman" w:hAnsi="Times New Roman" w:eastAsia="仿宋_GB2312" w:cs="Times New Roman"/>
          <w:sz w:val="32"/>
          <w:szCs w:val="32"/>
          <w:lang w:val="en-US" w:eastAsia="zh-CN"/>
        </w:rPr>
        <w:t>关于过渡期结束后相关问题，宋县长组织召开了解决祥民置业“三供一业”过渡期结束后相关问题推进会，相关意向已初步达成，正在协商完善。</w:t>
      </w:r>
      <w:r>
        <w:rPr>
          <w:rFonts w:hint="default" w:ascii="Times New Roman" w:hAnsi="Times New Roman" w:eastAsia="仿宋_GB2312" w:cs="Times New Roman"/>
          <w:b/>
          <w:bCs/>
          <w:sz w:val="32"/>
          <w:szCs w:val="32"/>
          <w:lang w:val="en-US" w:eastAsia="zh-CN"/>
        </w:rPr>
        <w:t>1.侯堡矿区职工家属区供暖热源费用结算问题。</w:t>
      </w:r>
      <w:r>
        <w:rPr>
          <w:rFonts w:hint="default" w:ascii="Times New Roman" w:hAnsi="Times New Roman" w:eastAsia="仿宋_GB2312" w:cs="Times New Roman"/>
          <w:sz w:val="32"/>
          <w:szCs w:val="32"/>
          <w:lang w:val="en-US" w:eastAsia="zh-CN"/>
        </w:rPr>
        <w:t>由潞安集团聚创分公司负责供暖工作整体运营与维护，并尽快出具详细方案。</w:t>
      </w:r>
      <w:r>
        <w:rPr>
          <w:rFonts w:hint="default" w:ascii="Times New Roman" w:hAnsi="Times New Roman" w:eastAsia="仿宋_GB2312" w:cs="Times New Roman"/>
          <w:b/>
          <w:bCs/>
          <w:sz w:val="32"/>
          <w:szCs w:val="32"/>
          <w:lang w:val="en-US" w:eastAsia="zh-CN"/>
        </w:rPr>
        <w:t>2.过渡期运维补贴费用及侯堡家属区水、暖、气成本供应问题。</w:t>
      </w:r>
      <w:r>
        <w:rPr>
          <w:rFonts w:hint="default" w:ascii="Times New Roman" w:hAnsi="Times New Roman" w:eastAsia="仿宋_GB2312" w:cs="Times New Roman"/>
          <w:sz w:val="32"/>
          <w:szCs w:val="32"/>
          <w:lang w:val="en-US" w:eastAsia="zh-CN"/>
        </w:rPr>
        <w:t>过渡期结束后，聚创分公司提出家属区水、暖、气以其成本价供应祥民公司，其成本价过高，祥民公司无力承担。鉴于侯堡家属区属独立工矿区，无政府水、暖、电、气市政管网接入，生产生活贯通共用部分居多，其中侯堡矿区居民年度用水量约62万m³，祥民公司建议在国家及地方政策允许的情况下，按照襄垣县自来水公司补助标准，给予祥民公司每年约24.8万元的财政资金补助，剩余不足部分由潞安集团补齐。</w:t>
      </w:r>
      <w:r>
        <w:rPr>
          <w:rFonts w:hint="default" w:ascii="Times New Roman" w:hAnsi="Times New Roman" w:eastAsia="仿宋_GB2312" w:cs="Times New Roman"/>
          <w:b/>
          <w:bCs/>
          <w:sz w:val="32"/>
          <w:szCs w:val="32"/>
          <w:lang w:val="en-US" w:eastAsia="zh-CN"/>
        </w:rPr>
        <w:t>3.潞安聚创分公司抽回“三供一业”人员工资返还问题。</w:t>
      </w:r>
      <w:r>
        <w:rPr>
          <w:rFonts w:hint="default" w:ascii="Times New Roman" w:hAnsi="Times New Roman" w:eastAsia="仿宋_GB2312" w:cs="Times New Roman"/>
          <w:sz w:val="32"/>
          <w:szCs w:val="32"/>
          <w:lang w:val="en-US" w:eastAsia="zh-CN"/>
        </w:rPr>
        <w:t>2022年5月起，聚创分公司抽回“三供一业”分离移交三方协议中约定的以劳务输出形式为祥民公司提供管理服务人员66名。抽回人员疫情期间（2022年5月至2022年12月）产生的工资及各项保险费用约652万元；疫情结束后（2023年1月至2023年12月）产生费用约1197.8万元，以上费用原来全部由祥民公司全部垫付。经协商，鉴于疫情防控属于阶段性不可抗力事件，2022年5月至2022年12月疫情期间产生的工资及各项保险费用由祥民公司自行承担，潞安聚创分公司返还2023年1月至2023年12月抽回人员产生的工资及各项保险费用约1197.8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 w:cs="Times New Roman"/>
          <w:sz w:val="32"/>
          <w:szCs w:val="32"/>
          <w:lang w:val="en-US" w:eastAsia="zh-CN"/>
        </w:rPr>
        <w:t>（七）世通公交：</w:t>
      </w:r>
      <w:r>
        <w:rPr>
          <w:rFonts w:hint="default" w:ascii="Times New Roman" w:hAnsi="Times New Roman" w:eastAsia="仿宋_GB2312" w:cs="Times New Roman"/>
          <w:sz w:val="32"/>
          <w:szCs w:val="32"/>
          <w:lang w:val="en-US" w:eastAsia="zh-CN"/>
        </w:rPr>
        <w:t>控制运营成本。一是减少管理人员，目前已减少2名管理人员，7月底精减3名内勤人员；二是实地勘测、规划镇村公交线路，优化镇村公交运行时间路线；三是招租车头广告业务，增加企业收入。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 w:cs="Times New Roman"/>
          <w:sz w:val="32"/>
          <w:szCs w:val="32"/>
          <w:lang w:val="en-US" w:eastAsia="zh-CN"/>
        </w:rPr>
        <w:t>（八）众襄联公司：</w:t>
      </w:r>
      <w:r>
        <w:rPr>
          <w:rFonts w:hint="default" w:ascii="Times New Roman" w:hAnsi="Times New Roman" w:eastAsia="仿宋_GB2312" w:cs="Times New Roman"/>
          <w:sz w:val="32"/>
          <w:szCs w:val="32"/>
          <w:lang w:val="en-US" w:eastAsia="zh-CN"/>
        </w:rPr>
        <w:t>康泰食品公司通过各种渠道多次与中创建筑公司协商，提出多种还款方案，但中创建筑公司均未接受。中创建筑公司向襄垣县人民法院申请了强制执行。襄垣县法院对康泰食品公司下达了执行裁定书，对屠宰场资产进行查封、扣押、冻结，由县法院进行评估处置及债务清偿。</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lang w:val="en-US" w:eastAsia="zh-CN"/>
        </w:rPr>
        <w:t>（九）襄粮兴公司：</w:t>
      </w:r>
      <w:r>
        <w:rPr>
          <w:rFonts w:hint="default" w:ascii="Times New Roman" w:hAnsi="Times New Roman" w:eastAsia="仿宋_GB2312" w:cs="Times New Roman"/>
          <w:sz w:val="32"/>
          <w:szCs w:val="32"/>
          <w:lang w:val="en-US" w:eastAsia="zh-CN"/>
        </w:rPr>
        <w:t>1.按照</w:t>
      </w:r>
      <w:r>
        <w:rPr>
          <w:rFonts w:hint="default" w:ascii="Times New Roman" w:hAnsi="Times New Roman" w:eastAsia="仿宋_GB2312" w:cs="Times New Roman"/>
          <w:sz w:val="32"/>
          <w:szCs w:val="32"/>
        </w:rPr>
        <w:t>政府常务会确定的轮换任务，轮换粮</w:t>
      </w:r>
      <w:r>
        <w:rPr>
          <w:rFonts w:hint="default" w:ascii="Times New Roman" w:hAnsi="Times New Roman" w:eastAsia="仿宋_GB2312" w:cs="Times New Roman"/>
          <w:sz w:val="32"/>
          <w:szCs w:val="32"/>
          <w:lang w:eastAsia="zh-CN"/>
        </w:rPr>
        <w:t>已</w:t>
      </w:r>
      <w:r>
        <w:rPr>
          <w:rFonts w:hint="default" w:ascii="Times New Roman" w:hAnsi="Times New Roman" w:eastAsia="仿宋_GB2312" w:cs="Times New Roman"/>
          <w:sz w:val="32"/>
          <w:szCs w:val="32"/>
        </w:rPr>
        <w:t>经省粮食检测中心安全指标分析化验，结果合格。两次在山西省粮食交易中心公开交易，</w:t>
      </w:r>
      <w:r>
        <w:rPr>
          <w:rFonts w:hint="default" w:ascii="Times New Roman" w:hAnsi="Times New Roman" w:eastAsia="仿宋_GB2312" w:cs="Times New Roman"/>
          <w:sz w:val="32"/>
          <w:szCs w:val="32"/>
          <w:lang w:eastAsia="zh-CN"/>
        </w:rPr>
        <w:t>已</w:t>
      </w:r>
      <w:r>
        <w:rPr>
          <w:rFonts w:hint="default" w:ascii="Times New Roman" w:hAnsi="Times New Roman" w:eastAsia="仿宋_GB2312" w:cs="Times New Roman"/>
          <w:sz w:val="32"/>
          <w:szCs w:val="32"/>
        </w:rPr>
        <w:t>成交</w:t>
      </w:r>
      <w:r>
        <w:rPr>
          <w:rFonts w:hint="default" w:ascii="Times New Roman" w:hAnsi="Times New Roman" w:eastAsia="仿宋_GB2312" w:cs="Times New Roman"/>
          <w:sz w:val="32"/>
          <w:szCs w:val="32"/>
          <w:lang w:eastAsia="zh-CN"/>
        </w:rPr>
        <w:t>安排</w:t>
      </w:r>
      <w:r>
        <w:rPr>
          <w:rFonts w:hint="default" w:ascii="Times New Roman" w:hAnsi="Times New Roman" w:eastAsia="仿宋_GB2312" w:cs="Times New Roman"/>
          <w:sz w:val="32"/>
          <w:szCs w:val="32"/>
        </w:rPr>
        <w:t>出库。两次挂网购买小麦均流拍，现在正在准备进行第三次挂网购买。</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推进粮食加工厂资产盘活和企业资产重组工作，清产核资、资产评估等工作</w:t>
      </w:r>
      <w:r>
        <w:rPr>
          <w:rFonts w:hint="default" w:ascii="Times New Roman" w:hAnsi="Times New Roman" w:eastAsia="仿宋_GB2312" w:cs="Times New Roman"/>
          <w:sz w:val="32"/>
          <w:szCs w:val="32"/>
          <w:lang w:val="en-US" w:eastAsia="zh-CN"/>
        </w:rPr>
        <w:t>已经</w:t>
      </w:r>
      <w:r>
        <w:rPr>
          <w:rFonts w:hint="default" w:ascii="Times New Roman" w:hAnsi="Times New Roman" w:eastAsia="仿宋_GB2312" w:cs="Times New Roman"/>
          <w:sz w:val="32"/>
          <w:szCs w:val="32"/>
        </w:rPr>
        <w:t>准备完成，</w:t>
      </w:r>
      <w:r>
        <w:rPr>
          <w:rFonts w:hint="default" w:ascii="Times New Roman" w:hAnsi="Times New Roman" w:eastAsia="仿宋_GB2312" w:cs="Times New Roman"/>
          <w:sz w:val="32"/>
          <w:szCs w:val="32"/>
          <w:lang w:eastAsia="zh-CN"/>
        </w:rPr>
        <w:t>国资局已</w:t>
      </w:r>
      <w:r>
        <w:rPr>
          <w:rFonts w:hint="default" w:ascii="Times New Roman" w:hAnsi="Times New Roman" w:eastAsia="仿宋_GB2312" w:cs="Times New Roman"/>
          <w:sz w:val="32"/>
          <w:szCs w:val="32"/>
        </w:rPr>
        <w:t>对评估报告进行核准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已</w:t>
      </w:r>
      <w:r>
        <w:rPr>
          <w:rFonts w:hint="default" w:ascii="Times New Roman" w:hAnsi="Times New Roman" w:eastAsia="仿宋_GB2312" w:cs="Times New Roman"/>
          <w:sz w:val="32"/>
          <w:szCs w:val="32"/>
        </w:rPr>
        <w:t>向</w:t>
      </w:r>
      <w:r>
        <w:rPr>
          <w:rFonts w:hint="default" w:ascii="Times New Roman" w:hAnsi="Times New Roman" w:eastAsia="仿宋_GB2312" w:cs="Times New Roman"/>
          <w:sz w:val="32"/>
          <w:szCs w:val="32"/>
          <w:lang w:val="en-US" w:eastAsia="zh-CN"/>
        </w:rPr>
        <w:t>自然资源</w:t>
      </w:r>
      <w:r>
        <w:rPr>
          <w:rFonts w:hint="default" w:ascii="Times New Roman" w:hAnsi="Times New Roman" w:eastAsia="仿宋_GB2312" w:cs="Times New Roman"/>
          <w:sz w:val="32"/>
          <w:szCs w:val="32"/>
        </w:rPr>
        <w:t>局提交了收回土地申请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待自然资源局进行土地出让，一并收回地面资产出让金</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四、政府工作报告分解任务完成情况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楷体" w:cs="Times New Roman"/>
          <w:sz w:val="32"/>
          <w:szCs w:val="32"/>
          <w:lang w:val="en-US" w:eastAsia="zh-CN"/>
        </w:rPr>
      </w:pPr>
      <w:r>
        <w:rPr>
          <w:rFonts w:hint="default" w:ascii="Times New Roman" w:hAnsi="Times New Roman" w:eastAsia="楷体" w:cs="Times New Roman"/>
          <w:sz w:val="32"/>
          <w:szCs w:val="32"/>
          <w:lang w:val="en-US" w:eastAsia="zh-CN"/>
        </w:rPr>
        <w:t>任务一：实施国有企业改革深化提升行动，推进县属国有企业整合重组、有序进退、提质增效</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县众襄联公司成立了改革领导组，聘请中介机构对所属“僵尸企业”资产、人员、业务等情况进行梳理。县众襄联公司制定了《襄垣县原商业系统全民所有制企业改革重组之职工安置方案》，按照《长治市市属国有企业改革申报审批办法》文件规定，该方案经襄垣县人力资源和社会保障局审核通过。所属企业制定了《关闭清算之职工安置方案》并进行了宣讲，召开了职代会审议该方案。</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楷体" w:cs="Times New Roman"/>
          <w:sz w:val="32"/>
          <w:szCs w:val="32"/>
          <w:lang w:val="en-US" w:eastAsia="zh-CN"/>
        </w:rPr>
      </w:pPr>
      <w:r>
        <w:rPr>
          <w:rFonts w:hint="default" w:ascii="Times New Roman" w:hAnsi="Times New Roman" w:eastAsia="楷体" w:cs="Times New Roman"/>
          <w:sz w:val="32"/>
          <w:szCs w:val="32"/>
          <w:lang w:val="en-US" w:eastAsia="zh-CN"/>
        </w:rPr>
        <w:t>任务二：健全以管资本为主的国资监管体制，强化以“一利五率”为导向的差异人考核</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为了健全以管资本为主的国资监管体制，强化“一利五率”差异化考核，根据国有资本战略定位和发展目标，结合不同企业在经济社会发展中的作用、现状和发展需要，将县属国有企业分为竞争类、功能类与公益类企业。在申报2024年度经营业绩考核目标建议值时，因企制宜确定了不同的考核指标。竞争类企业襄矿集团已将“一利五率”指标纳入2024年度申报目标值，其他企业根据实际经营情况增加相关指标，例如：利润总额、净资产收益率、全员劳动生产力、资产负债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楷体" w:cs="Times New Roman"/>
          <w:sz w:val="32"/>
          <w:szCs w:val="32"/>
          <w:lang w:val="en-US" w:eastAsia="zh-CN"/>
        </w:rPr>
      </w:pPr>
      <w:r>
        <w:rPr>
          <w:rFonts w:hint="default" w:ascii="Times New Roman" w:hAnsi="Times New Roman" w:eastAsia="楷体" w:cs="Times New Roman"/>
          <w:sz w:val="32"/>
          <w:szCs w:val="32"/>
          <w:lang w:val="en-US" w:eastAsia="zh-CN"/>
        </w:rPr>
        <w:t>任务三：深入开展亏损企业治理专项行动，推进襄粮兴购销公司、古韩粮站、粮油加工厂兼并重组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县襄粮兴公司成立了改革领导组，聘请中介机构对所属“僵尸企业”资产、人员、业务等情况进行梳理。县襄粮兴公司制定了《山西襄粮兴购销有限公司、山西省襄垣县古韩粮站、山西省襄垣县粮油加工厂兼并重组暨资产处置改革实施方案》《山西省襄垣县粮油加工厂兼并重组改革资产（土地）处置方案》经我局审核，县人社局、县自然资源局出具意见，报县政府常务会议研究通过，目前，正在具体实施。</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楷体" w:cs="Times New Roman"/>
          <w:sz w:val="32"/>
          <w:szCs w:val="32"/>
          <w:lang w:val="en-US" w:eastAsia="zh-CN"/>
        </w:rPr>
      </w:pPr>
      <w:r>
        <w:rPr>
          <w:rFonts w:hint="default" w:ascii="Times New Roman" w:hAnsi="Times New Roman" w:eastAsia="楷体" w:cs="Times New Roman"/>
          <w:sz w:val="32"/>
          <w:szCs w:val="32"/>
          <w:lang w:val="en-US" w:eastAsia="zh-CN"/>
        </w:rPr>
        <w:t>任务四：完成12.1公里城区老旧供水管网改造，启动城乡供水一体化项目建设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襄垣县城区老旧供水管网改造工程：该项目完成前期手续办理和招投标工作，获得中央预算内投资2879万元，地方专项债权5000万元；截至目前，已完成1.改造及新建市政供水管网1.1km；2.改造城中村、老旧片区供水管总工程量的60%；3.新建县城供水管网智慧水务平台的硬件部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山西低碳和包容性乡村发展项目襄垣县城乡供水一体化改扩建子项目：该项目已完成《移民安置计划》编制，完成《可行性研究报告》编制并获得山西省发展和改革委员会《关于对襄垣县城乡供水一体化改扩建子项目可行性研究报告的批复》（晋发改审批发 〔2023〕250号），完成《初步设计》编制，正在进行初步设计的逐级申报和土地手续办理工作。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五、承担重点工程进展情况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襄矿中烨新能源产业园</w:t>
      </w:r>
      <w:r>
        <w:rPr>
          <w:rFonts w:hint="default" w:ascii="Times New Roman" w:hAnsi="Times New Roman" w:eastAsia="仿宋_GB2312" w:cs="Times New Roman"/>
          <w:sz w:val="32"/>
          <w:szCs w:val="32"/>
        </w:rPr>
        <w:t>项目</w:t>
      </w:r>
      <w:r>
        <w:rPr>
          <w:rFonts w:hint="default" w:ascii="Times New Roman" w:hAnsi="Times New Roman" w:eastAsia="仿宋_GB2312" w:cs="Times New Roman"/>
          <w:sz w:val="32"/>
          <w:szCs w:val="32"/>
          <w:lang w:eastAsia="zh-CN"/>
        </w:rPr>
        <w:t>分为三个子项目：</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高智能化5GWh磷酸铁锂储能电池项目分两期建设：一期为1GWh，选型为：280Ah铝形方壳磷酸铁锂离子电池</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二期为4GWh，选型为：320Ah磷酸铁锂刀片电池</w:t>
      </w:r>
      <w:r>
        <w:rPr>
          <w:rFonts w:hint="default" w:ascii="Times New Roman" w:hAnsi="Times New Roman" w:eastAsia="仿宋_GB2312" w:cs="Times New Roman"/>
          <w:sz w:val="32"/>
          <w:szCs w:val="32"/>
          <w:lang w:eastAsia="zh-CN"/>
        </w:rPr>
        <w:t>。现已</w:t>
      </w:r>
      <w:r>
        <w:rPr>
          <w:rFonts w:hint="default" w:ascii="Times New Roman" w:hAnsi="Times New Roman" w:eastAsia="仿宋_GB2312" w:cs="Times New Roman"/>
          <w:sz w:val="32"/>
          <w:szCs w:val="32"/>
        </w:rPr>
        <w:t>项目总体规划设计。</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18650锂电池项目：</w:t>
      </w:r>
      <w:r>
        <w:rPr>
          <w:rFonts w:hint="default" w:ascii="Times New Roman" w:hAnsi="Times New Roman" w:eastAsia="仿宋_GB2312" w:cs="Times New Roman"/>
          <w:sz w:val="32"/>
          <w:szCs w:val="32"/>
          <w:lang w:eastAsia="zh-CN"/>
        </w:rPr>
        <w:t>正在做厂房初步设计方案，正在与江西浩然</w:t>
      </w:r>
      <w:r>
        <w:rPr>
          <w:rFonts w:hint="default" w:ascii="Times New Roman" w:hAnsi="Times New Roman" w:eastAsia="仿宋_GB2312" w:cs="Times New Roman"/>
          <w:sz w:val="32"/>
          <w:szCs w:val="32"/>
          <w:lang w:val="en-US" w:eastAsia="zh-CN"/>
        </w:rPr>
        <w:t>智能科技有限公司</w:t>
      </w:r>
      <w:r>
        <w:rPr>
          <w:rFonts w:hint="default" w:ascii="Times New Roman" w:hAnsi="Times New Roman" w:eastAsia="仿宋_GB2312" w:cs="Times New Roman"/>
          <w:sz w:val="32"/>
          <w:szCs w:val="32"/>
          <w:lang w:eastAsia="zh-CN"/>
        </w:rPr>
        <w:t>对接具体事宜。</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高智能PACK项目：</w:t>
      </w:r>
      <w:r>
        <w:rPr>
          <w:rFonts w:hint="default" w:ascii="Times New Roman" w:hAnsi="Times New Roman" w:eastAsia="仿宋_GB2312" w:cs="Times New Roman"/>
          <w:sz w:val="32"/>
          <w:szCs w:val="32"/>
          <w:lang w:eastAsia="zh-CN"/>
        </w:rPr>
        <w:t>正在</w:t>
      </w:r>
      <w:r>
        <w:rPr>
          <w:rFonts w:hint="default" w:ascii="Times New Roman" w:hAnsi="Times New Roman" w:eastAsia="仿宋_GB2312" w:cs="Times New Roman"/>
          <w:sz w:val="32"/>
          <w:szCs w:val="32"/>
        </w:rPr>
        <w:t>对7000</w:t>
      </w:r>
      <w:r>
        <w:rPr>
          <w:rFonts w:hint="default" w:ascii="Times New Roman" w:hAnsi="Times New Roman" w:eastAsia="仿宋_GB2312" w:cs="Times New Roman"/>
          <w:sz w:val="32"/>
          <w:szCs w:val="32"/>
          <w:lang w:val="en-US" w:eastAsia="zh-CN"/>
        </w:rPr>
        <w:t>平</w:t>
      </w:r>
      <w:r>
        <w:rPr>
          <w:rFonts w:hint="default" w:ascii="Times New Roman" w:hAnsi="Times New Roman" w:eastAsia="仿宋_GB2312" w:cs="Times New Roman"/>
          <w:sz w:val="32"/>
          <w:szCs w:val="32"/>
        </w:rPr>
        <w:t>方厂房进行规划设计；准备立项相关资料；与</w:t>
      </w:r>
      <w:r>
        <w:rPr>
          <w:rFonts w:hint="default" w:ascii="Times New Roman" w:hAnsi="Times New Roman" w:eastAsia="仿宋_GB2312" w:cs="Times New Roman"/>
          <w:sz w:val="32"/>
          <w:szCs w:val="32"/>
          <w:lang w:val="en-US" w:eastAsia="zh-CN"/>
        </w:rPr>
        <w:t>江西浩然智能科技有限</w:t>
      </w:r>
      <w:r>
        <w:rPr>
          <w:rFonts w:hint="default" w:ascii="Times New Roman" w:hAnsi="Times New Roman" w:eastAsia="仿宋_GB2312" w:cs="Times New Roman"/>
          <w:sz w:val="32"/>
          <w:szCs w:val="32"/>
        </w:rPr>
        <w:t>公司商谈关于换电重卡PACK包的相关方案。</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六、</w:t>
      </w:r>
      <w:bookmarkEnd w:id="0"/>
      <w:r>
        <w:rPr>
          <w:rFonts w:hint="default" w:ascii="Times New Roman" w:hAnsi="Times New Roman" w:eastAsia="黑体" w:cs="Times New Roman"/>
          <w:sz w:val="32"/>
          <w:szCs w:val="32"/>
          <w:lang w:val="en-US" w:eastAsia="zh-CN"/>
        </w:rPr>
        <w:t>存在问题</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 w:cs="Times New Roman"/>
          <w:color w:val="auto"/>
          <w:sz w:val="32"/>
          <w:szCs w:val="32"/>
        </w:rPr>
        <w:t>（</w:t>
      </w:r>
      <w:r>
        <w:rPr>
          <w:rFonts w:hint="default" w:ascii="Times New Roman" w:hAnsi="Times New Roman" w:eastAsia="楷体" w:cs="Times New Roman"/>
          <w:color w:val="auto"/>
          <w:sz w:val="32"/>
          <w:szCs w:val="32"/>
          <w:lang w:eastAsia="zh-CN"/>
        </w:rPr>
        <w:t>一</w:t>
      </w:r>
      <w:r>
        <w:rPr>
          <w:rFonts w:hint="default" w:ascii="Times New Roman" w:hAnsi="Times New Roman" w:eastAsia="楷体" w:cs="Times New Roman"/>
          <w:color w:val="auto"/>
          <w:sz w:val="32"/>
          <w:szCs w:val="32"/>
        </w:rPr>
        <w:t>）</w:t>
      </w:r>
      <w:r>
        <w:rPr>
          <w:rFonts w:hint="default" w:ascii="Times New Roman" w:hAnsi="Times New Roman" w:eastAsia="楷体" w:cs="Times New Roman"/>
          <w:color w:val="auto"/>
          <w:sz w:val="32"/>
          <w:szCs w:val="32"/>
          <w:lang w:val="en-US" w:eastAsia="zh-CN"/>
        </w:rPr>
        <w:t>襄矿集团欠缴养老保险严重。</w:t>
      </w:r>
      <w:r>
        <w:rPr>
          <w:rFonts w:hint="default" w:ascii="Times New Roman" w:hAnsi="Times New Roman" w:eastAsia="仿宋_GB2312" w:cs="Times New Roman"/>
          <w:color w:val="auto"/>
          <w:sz w:val="32"/>
          <w:szCs w:val="32"/>
          <w:lang w:val="en-US" w:eastAsia="zh-CN"/>
        </w:rPr>
        <w:t>至2023年末，襄矿集团账面欠缴职工养老保险约4亿余元，是省委第八轮巡视要求2023年底前整改到位的事项，如整改不到位，可能面临追责问责，更严重的是，如煤炭市场价格下调，经济状况恶化，襄矿集团补缴社保难度更大，面临职工退休难，是一个大的不稳定因素。</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 w:cs="Times New Roman"/>
          <w:color w:val="auto"/>
          <w:sz w:val="32"/>
          <w:szCs w:val="32"/>
          <w:lang w:val="en-US" w:eastAsia="zh-CN"/>
        </w:rPr>
        <w:t>（二）企业亏损面大。</w:t>
      </w:r>
      <w:r>
        <w:rPr>
          <w:rFonts w:hint="default" w:ascii="Times New Roman" w:hAnsi="Times New Roman" w:eastAsia="仿宋_GB2312" w:cs="Times New Roman"/>
          <w:color w:val="auto"/>
          <w:sz w:val="32"/>
          <w:szCs w:val="32"/>
          <w:lang w:val="en-US" w:eastAsia="zh-CN"/>
        </w:rPr>
        <w:t>县属国有全资和控股企业目前有93户，2024年县属国有企业去年实现净利润大幅下滑，由上年度11.91亿元降至1.11亿元，减幅90%，主要原因是煤炭价格下降。但仅35户企业年末净利润为正，净利润为负的亏损企业达到58户，亏损面达62%。</w:t>
      </w:r>
      <w:r>
        <w:rPr>
          <w:rFonts w:hint="default" w:ascii="Times New Roman" w:hAnsi="Times New Roman" w:eastAsia="仿宋_GB2312" w:cs="Times New Roman"/>
          <w:sz w:val="32"/>
          <w:szCs w:val="32"/>
          <w:lang w:val="en-US" w:eastAsia="zh-CN"/>
        </w:rPr>
        <w:t>资产负债率升高,企业长期偿债能力较差，致使企业财务风险依然居高不下，加之资本利润率仍低于借款利息率，企业债务资金所创造收益不足以支付债务利息，企业资产负债率偏高，利息负担重，长期偿债风险高，短期偿债能力也较差。急需加大力度处理银企债务，化解过度负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 w:cs="Times New Roman"/>
          <w:sz w:val="32"/>
          <w:szCs w:val="32"/>
          <w:lang w:val="en-US" w:eastAsia="zh-CN"/>
        </w:rPr>
        <w:t>（三）县属国有企业历史遗留问题难处理。</w:t>
      </w:r>
      <w:r>
        <w:rPr>
          <w:rFonts w:hint="default" w:ascii="Times New Roman" w:hAnsi="Times New Roman" w:eastAsia="仿宋_GB2312" w:cs="Times New Roman"/>
          <w:sz w:val="32"/>
          <w:szCs w:val="32"/>
          <w:lang w:val="en-US" w:eastAsia="zh-CN"/>
        </w:rPr>
        <w:t>我县国有企业历史遗留问题多，“僵尸企业”形成时间长，且长期处于停产半停产状态，自身脱困难，历史遗留问题越积越多，职工人数多、身份不能确认，涉及职工集资款数额大，资产质量不高，变现能力差，土地、房屋租赁问题难度大；处置资金压力大。我县经济压力大，相应改革资金筹集难，对“僵尸企业”处置造成影响；“僵尸企业”遗留问题多，涉及职工切身利益，处置难度大且周期长，法院案件数量增长，案多人少，影响年终结案考核，法院受理存在难度。</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七、2024年下半年计划</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 w:cs="Times New Roman"/>
          <w:sz w:val="32"/>
          <w:szCs w:val="32"/>
          <w:lang w:val="en-US" w:eastAsia="zh-CN"/>
        </w:rPr>
        <w:t>一要</w:t>
      </w:r>
      <w:r>
        <w:rPr>
          <w:rFonts w:hint="default" w:ascii="Times New Roman" w:hAnsi="Times New Roman" w:eastAsia="楷体" w:cs="Times New Roman"/>
          <w:sz w:val="32"/>
          <w:szCs w:val="32"/>
          <w:lang w:eastAsia="zh-CN"/>
        </w:rPr>
        <w:t>加强党的领导</w:t>
      </w:r>
      <w:r>
        <w:rPr>
          <w:rFonts w:hint="default" w:ascii="Times New Roman" w:hAnsi="Times New Roman" w:eastAsia="楷体" w:cs="Times New Roman"/>
          <w:sz w:val="32"/>
          <w:szCs w:val="32"/>
        </w:rPr>
        <w:t>。</w:t>
      </w:r>
      <w:r>
        <w:rPr>
          <w:rFonts w:hint="default" w:ascii="Times New Roman" w:hAnsi="Times New Roman" w:eastAsia="仿宋_GB2312" w:cs="Times New Roman"/>
          <w:sz w:val="32"/>
          <w:szCs w:val="32"/>
        </w:rPr>
        <w:t>落实全面从严治党要求</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巩固和深化党纪学习教育成果，推进清廉国企建设，完善党组织前置研究重大经营管理事项清单指引。执行新《公司法》，参照省市国企改制模式，推进公司监事会改制工作，稳步推进监事会职能划转和人员转岗，按期完成企业换届工作，不断完善法人治理结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 w:cs="Times New Roman"/>
          <w:sz w:val="32"/>
          <w:szCs w:val="32"/>
          <w:lang w:eastAsia="zh-CN"/>
        </w:rPr>
        <w:t>二要促进</w:t>
      </w:r>
      <w:r>
        <w:rPr>
          <w:rFonts w:hint="default" w:ascii="Times New Roman" w:hAnsi="Times New Roman" w:eastAsia="楷体" w:cs="Times New Roman"/>
          <w:sz w:val="32"/>
          <w:szCs w:val="32"/>
        </w:rPr>
        <w:t>国企</w:t>
      </w:r>
      <w:r>
        <w:rPr>
          <w:rFonts w:hint="default" w:ascii="Times New Roman" w:hAnsi="Times New Roman" w:eastAsia="楷体" w:cs="Times New Roman"/>
          <w:sz w:val="32"/>
          <w:szCs w:val="32"/>
          <w:lang w:eastAsia="zh-CN"/>
        </w:rPr>
        <w:t>发展。</w:t>
      </w:r>
      <w:r>
        <w:rPr>
          <w:rFonts w:hint="default" w:ascii="Times New Roman" w:hAnsi="Times New Roman" w:eastAsia="仿宋_GB2312" w:cs="Times New Roman"/>
          <w:sz w:val="32"/>
          <w:szCs w:val="32"/>
          <w:lang w:eastAsia="zh-CN"/>
        </w:rPr>
        <w:t>将“一利五率”纳入国企年度考核范围，实施差异化考核，</w:t>
      </w:r>
      <w:r>
        <w:rPr>
          <w:rFonts w:hint="default" w:ascii="Times New Roman" w:hAnsi="Times New Roman" w:eastAsia="仿宋_GB2312" w:cs="Times New Roman"/>
          <w:sz w:val="32"/>
          <w:szCs w:val="32"/>
          <w:lang w:val="en-US" w:eastAsia="zh-CN"/>
        </w:rPr>
        <w:t>严格工资总额、薪酬管理，调动企业负责人经营积极性。</w:t>
      </w:r>
      <w:r>
        <w:rPr>
          <w:rFonts w:hint="default" w:ascii="Times New Roman" w:hAnsi="Times New Roman" w:eastAsia="仿宋_GB2312" w:cs="Times New Roman"/>
          <w:sz w:val="32"/>
          <w:szCs w:val="32"/>
          <w:lang w:eastAsia="zh-CN"/>
        </w:rPr>
        <w:t>实施国有企业改革深化提升行动，规范平台企业经营管理</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提高公益企业服务水平。开展亏损企业治理专项行动，推进襄矿泓通煤化工项目复工投产、</w:t>
      </w:r>
      <w:r>
        <w:rPr>
          <w:rFonts w:hint="default" w:ascii="Times New Roman" w:hAnsi="Times New Roman" w:eastAsia="仿宋_GB2312" w:cs="Times New Roman"/>
          <w:sz w:val="32"/>
          <w:szCs w:val="32"/>
          <w:lang w:val="en-US" w:eastAsia="zh-CN"/>
        </w:rPr>
        <w:t>襄矿辉坡煤业51%股权转让；</w:t>
      </w:r>
      <w:r>
        <w:rPr>
          <w:rFonts w:hint="default" w:ascii="Times New Roman" w:hAnsi="Times New Roman" w:eastAsia="仿宋_GB2312" w:cs="Times New Roman"/>
          <w:sz w:val="32"/>
          <w:szCs w:val="32"/>
          <w:lang w:eastAsia="zh-CN"/>
        </w:rPr>
        <w:t>稳妥</w:t>
      </w:r>
      <w:r>
        <w:rPr>
          <w:rFonts w:hint="default" w:ascii="Times New Roman" w:hAnsi="Times New Roman" w:eastAsia="仿宋_GB2312" w:cs="Times New Roman"/>
          <w:sz w:val="32"/>
          <w:szCs w:val="32"/>
          <w:lang w:val="en-US" w:eastAsia="zh-CN"/>
        </w:rPr>
        <w:t>处置“僵尸企业”，重点推进众襄联公司、襄粮兴公司兼并重组。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lang w:eastAsia="zh-CN"/>
        </w:rPr>
        <w:t>三要强化国资监管</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严格执行财务快报制度和大额资金使用报备制度；严格落实投资风险管控办法，国有企业重大投资和设立各级子公司严格执行报批和备案制度。按时完成内审工作，按季度公开襄矿集团财务等重大信息，推进审计巡视整改工作，不断消化解决历史遗留问题，促进县属国有企业健康发展</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76" w:lineRule="exact"/>
        <w:ind w:firstLine="640" w:firstLineChars="200"/>
        <w:jc w:val="righ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襄垣县政府国有资产监督管理局    </w:t>
      </w:r>
    </w:p>
    <w:p>
      <w:pPr>
        <w:keepNext w:val="0"/>
        <w:keepLines w:val="0"/>
        <w:pageBreakBefore w:val="0"/>
        <w:widowControl w:val="0"/>
        <w:kinsoku/>
        <w:wordWrap w:val="0"/>
        <w:overflowPunct/>
        <w:topLinePunct w:val="0"/>
        <w:autoSpaceDE/>
        <w:autoSpaceDN/>
        <w:bidi w:val="0"/>
        <w:adjustRightInd/>
        <w:snapToGrid/>
        <w:spacing w:line="576" w:lineRule="exact"/>
        <w:ind w:firstLine="640" w:firstLineChars="200"/>
        <w:jc w:val="righ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2024年7月4日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overflowPunct/>
        <w:topLinePunct w:val="0"/>
        <w:autoSpaceDE/>
        <w:autoSpaceDN/>
        <w:bidi w:val="0"/>
        <w:adjustRightInd/>
        <w:snapToGrid/>
        <w:spacing w:line="576" w:lineRule="exact"/>
        <w:ind w:firstLine="420" w:firstLineChars="200"/>
        <w:jc w:val="both"/>
        <w:textAlignment w:val="auto"/>
        <w:rPr>
          <w:rFonts w:hint="default" w:ascii="Times New Roman" w:hAnsi="Times New Roman" w:cs="Times New Roman"/>
          <w:lang w:val="en-US" w:eastAsia="zh-CN"/>
        </w:rPr>
      </w:pPr>
    </w:p>
    <w:p>
      <w:pPr>
        <w:keepNext w:val="0"/>
        <w:keepLines w:val="0"/>
        <w:pageBreakBefore w:val="0"/>
        <w:widowControl w:val="0"/>
        <w:tabs>
          <w:tab w:val="right" w:pos="4259"/>
        </w:tabs>
        <w:kinsoku/>
        <w:wordWrap/>
        <w:overflowPunct/>
        <w:topLinePunct w:val="0"/>
        <w:autoSpaceDE/>
        <w:autoSpaceDN/>
        <w:bidi w:val="0"/>
        <w:adjustRightInd/>
        <w:snapToGrid/>
        <w:spacing w:line="576" w:lineRule="exact"/>
        <w:ind w:right="0" w:rightChars="0" w:firstLine="560" w:firstLineChars="200"/>
        <w:jc w:val="both"/>
        <w:textAlignment w:val="auto"/>
        <w:rPr>
          <w:rFonts w:hint="default" w:ascii="Times New Roman" w:hAnsi="Times New Roman" w:eastAsia="仿宋_GB2312" w:cs="Times New Roman"/>
          <w:sz w:val="28"/>
          <w:szCs w:val="28"/>
          <w:lang w:val="en-US" w:eastAsia="zh-CN"/>
        </w:rPr>
      </w:pPr>
    </w:p>
    <w:sectPr>
      <w:footerReference r:id="rId3" w:type="default"/>
      <w:pgSz w:w="11906" w:h="16838"/>
      <w:pgMar w:top="2098" w:right="1531" w:bottom="1701" w:left="1531" w:header="851" w:footer="1134"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154ED56-7295-4B77-81F2-07A0F09A6E7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383F19EE-62A1-4582-AD10-10F18A92F5E2}"/>
  </w:font>
  <w:font w:name="方正小标宋简体">
    <w:panose1 w:val="03000509000000000000"/>
    <w:charset w:val="86"/>
    <w:family w:val="auto"/>
    <w:pitch w:val="default"/>
    <w:sig w:usb0="00000001" w:usb1="080E0000" w:usb2="00000000" w:usb3="00000000" w:csb0="00040000" w:csb1="00000000"/>
    <w:embedRegular r:id="rId3" w:fontKey="{3A2840D3-D81B-4F5F-A606-1738BF5B4D0F}"/>
  </w:font>
  <w:font w:name="楷体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宋体_x0011_..哟..">
    <w:altName w:val="宋体"/>
    <w:panose1 w:val="00000000000000000000"/>
    <w:charset w:val="86"/>
    <w:family w:val="roma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embedRegular r:id="rId4" w:fontKey="{3705F529-2A1F-4CBE-BFDE-E58C63EC2CF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pPr>
                      <w:pStyle w:val="7"/>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xZDNiYTRmMDNmZDRiNWJhNWU0MjllYWE0YWNlYTQifQ=="/>
  </w:docVars>
  <w:rsids>
    <w:rsidRoot w:val="5CAB11CA"/>
    <w:rsid w:val="00133F69"/>
    <w:rsid w:val="01736924"/>
    <w:rsid w:val="01E50883"/>
    <w:rsid w:val="026D54E0"/>
    <w:rsid w:val="02903FAD"/>
    <w:rsid w:val="02BC58AA"/>
    <w:rsid w:val="02E00D09"/>
    <w:rsid w:val="02FD2989"/>
    <w:rsid w:val="0300281D"/>
    <w:rsid w:val="03154003"/>
    <w:rsid w:val="031C380B"/>
    <w:rsid w:val="03906444"/>
    <w:rsid w:val="04810D61"/>
    <w:rsid w:val="04BC3145"/>
    <w:rsid w:val="05A2141C"/>
    <w:rsid w:val="061C3E74"/>
    <w:rsid w:val="076C616A"/>
    <w:rsid w:val="08030B6B"/>
    <w:rsid w:val="08DC72AD"/>
    <w:rsid w:val="094F5D3D"/>
    <w:rsid w:val="09720C79"/>
    <w:rsid w:val="09BB6DF6"/>
    <w:rsid w:val="0A5F73ED"/>
    <w:rsid w:val="0ABD6200"/>
    <w:rsid w:val="0ACE47F2"/>
    <w:rsid w:val="0B1B331F"/>
    <w:rsid w:val="0B227AF1"/>
    <w:rsid w:val="0BC37A2B"/>
    <w:rsid w:val="0C8E09E9"/>
    <w:rsid w:val="0CB3217A"/>
    <w:rsid w:val="0DB872F0"/>
    <w:rsid w:val="0ED44466"/>
    <w:rsid w:val="0EF02A58"/>
    <w:rsid w:val="0F144CFA"/>
    <w:rsid w:val="0F2A12A7"/>
    <w:rsid w:val="0F390211"/>
    <w:rsid w:val="0F935C24"/>
    <w:rsid w:val="0FD11C78"/>
    <w:rsid w:val="101041C5"/>
    <w:rsid w:val="10287AAA"/>
    <w:rsid w:val="111B27FC"/>
    <w:rsid w:val="1120227C"/>
    <w:rsid w:val="12F75ED3"/>
    <w:rsid w:val="134A4B7A"/>
    <w:rsid w:val="13BA6AF2"/>
    <w:rsid w:val="14D83311"/>
    <w:rsid w:val="16850059"/>
    <w:rsid w:val="168970E4"/>
    <w:rsid w:val="16B513A6"/>
    <w:rsid w:val="174F6D6C"/>
    <w:rsid w:val="17713A11"/>
    <w:rsid w:val="179536B5"/>
    <w:rsid w:val="17AF5E11"/>
    <w:rsid w:val="181E13A5"/>
    <w:rsid w:val="18BB7BF2"/>
    <w:rsid w:val="18D07BD1"/>
    <w:rsid w:val="1A3D367B"/>
    <w:rsid w:val="1A5613BE"/>
    <w:rsid w:val="1B107B73"/>
    <w:rsid w:val="1BB80CA5"/>
    <w:rsid w:val="1E5E34E3"/>
    <w:rsid w:val="1EA17967"/>
    <w:rsid w:val="1EF10470"/>
    <w:rsid w:val="1F2E63B5"/>
    <w:rsid w:val="1FE30735"/>
    <w:rsid w:val="21011AE0"/>
    <w:rsid w:val="21016BC3"/>
    <w:rsid w:val="216752E2"/>
    <w:rsid w:val="21CD4F77"/>
    <w:rsid w:val="21FE51BA"/>
    <w:rsid w:val="220B6A61"/>
    <w:rsid w:val="227A09A1"/>
    <w:rsid w:val="227D1800"/>
    <w:rsid w:val="229D6DB5"/>
    <w:rsid w:val="24153F9B"/>
    <w:rsid w:val="24F8348E"/>
    <w:rsid w:val="25264A4E"/>
    <w:rsid w:val="264A51D0"/>
    <w:rsid w:val="27380599"/>
    <w:rsid w:val="27671DC1"/>
    <w:rsid w:val="27A00FB8"/>
    <w:rsid w:val="27A6518A"/>
    <w:rsid w:val="280177C0"/>
    <w:rsid w:val="284D323C"/>
    <w:rsid w:val="28CB1D4A"/>
    <w:rsid w:val="2920769B"/>
    <w:rsid w:val="29512D07"/>
    <w:rsid w:val="29810091"/>
    <w:rsid w:val="2AA109C2"/>
    <w:rsid w:val="2AC71BAB"/>
    <w:rsid w:val="2AFE7BD8"/>
    <w:rsid w:val="2B861243"/>
    <w:rsid w:val="2C064259"/>
    <w:rsid w:val="2CBB796F"/>
    <w:rsid w:val="2D2450B8"/>
    <w:rsid w:val="2DE14755"/>
    <w:rsid w:val="2E4647A4"/>
    <w:rsid w:val="30C17150"/>
    <w:rsid w:val="31C76224"/>
    <w:rsid w:val="32480872"/>
    <w:rsid w:val="32FE40DC"/>
    <w:rsid w:val="33A85F09"/>
    <w:rsid w:val="33AF7A7B"/>
    <w:rsid w:val="33DA155D"/>
    <w:rsid w:val="34165222"/>
    <w:rsid w:val="35992423"/>
    <w:rsid w:val="368C042F"/>
    <w:rsid w:val="36956687"/>
    <w:rsid w:val="36AC6FF8"/>
    <w:rsid w:val="37AE49EB"/>
    <w:rsid w:val="37E53727"/>
    <w:rsid w:val="380B6117"/>
    <w:rsid w:val="38141F03"/>
    <w:rsid w:val="382D0624"/>
    <w:rsid w:val="385B0F7A"/>
    <w:rsid w:val="38795799"/>
    <w:rsid w:val="387E7977"/>
    <w:rsid w:val="39637FB3"/>
    <w:rsid w:val="39BE291E"/>
    <w:rsid w:val="39F618C9"/>
    <w:rsid w:val="3B572A66"/>
    <w:rsid w:val="3CD743D3"/>
    <w:rsid w:val="3D090A4B"/>
    <w:rsid w:val="3DE33DFF"/>
    <w:rsid w:val="3E7C4FBB"/>
    <w:rsid w:val="3F0B4C4E"/>
    <w:rsid w:val="40EF105A"/>
    <w:rsid w:val="41C97A4D"/>
    <w:rsid w:val="421A3D50"/>
    <w:rsid w:val="443C67BA"/>
    <w:rsid w:val="45076263"/>
    <w:rsid w:val="450B0BF7"/>
    <w:rsid w:val="457570A3"/>
    <w:rsid w:val="46390960"/>
    <w:rsid w:val="466611BE"/>
    <w:rsid w:val="46B40FC3"/>
    <w:rsid w:val="46F000C4"/>
    <w:rsid w:val="47431803"/>
    <w:rsid w:val="4A663EF4"/>
    <w:rsid w:val="4A812911"/>
    <w:rsid w:val="4B80583B"/>
    <w:rsid w:val="4BCC58AE"/>
    <w:rsid w:val="4D7D2820"/>
    <w:rsid w:val="4DD93FE4"/>
    <w:rsid w:val="4DE92047"/>
    <w:rsid w:val="4EE60A2C"/>
    <w:rsid w:val="4EF3147A"/>
    <w:rsid w:val="4F917E0B"/>
    <w:rsid w:val="517316FC"/>
    <w:rsid w:val="5202449A"/>
    <w:rsid w:val="523622A0"/>
    <w:rsid w:val="53510542"/>
    <w:rsid w:val="53F31947"/>
    <w:rsid w:val="544C6248"/>
    <w:rsid w:val="551C0922"/>
    <w:rsid w:val="55A24C42"/>
    <w:rsid w:val="55F7172B"/>
    <w:rsid w:val="56054FAD"/>
    <w:rsid w:val="5616545C"/>
    <w:rsid w:val="57E13B39"/>
    <w:rsid w:val="58527CBD"/>
    <w:rsid w:val="58780BF1"/>
    <w:rsid w:val="588715C9"/>
    <w:rsid w:val="58C80519"/>
    <w:rsid w:val="5A130E73"/>
    <w:rsid w:val="5AF158BD"/>
    <w:rsid w:val="5BB02326"/>
    <w:rsid w:val="5BD351CE"/>
    <w:rsid w:val="5C501813"/>
    <w:rsid w:val="5CAB11CA"/>
    <w:rsid w:val="5CC16BB0"/>
    <w:rsid w:val="5D1E14A5"/>
    <w:rsid w:val="5E157320"/>
    <w:rsid w:val="5EE72D02"/>
    <w:rsid w:val="5F4A1605"/>
    <w:rsid w:val="5FFB07C4"/>
    <w:rsid w:val="600476C8"/>
    <w:rsid w:val="601E4AF3"/>
    <w:rsid w:val="601F3F2F"/>
    <w:rsid w:val="604B2DBA"/>
    <w:rsid w:val="60F20359"/>
    <w:rsid w:val="611759A9"/>
    <w:rsid w:val="612311CA"/>
    <w:rsid w:val="61614271"/>
    <w:rsid w:val="61BC609D"/>
    <w:rsid w:val="61DC5E43"/>
    <w:rsid w:val="61E260F9"/>
    <w:rsid w:val="625863AC"/>
    <w:rsid w:val="63D15124"/>
    <w:rsid w:val="642D4E34"/>
    <w:rsid w:val="645D09D7"/>
    <w:rsid w:val="64E11CF4"/>
    <w:rsid w:val="65592F5C"/>
    <w:rsid w:val="6596192A"/>
    <w:rsid w:val="667B65DC"/>
    <w:rsid w:val="68A95EE3"/>
    <w:rsid w:val="68E03509"/>
    <w:rsid w:val="696F77DB"/>
    <w:rsid w:val="6B097B91"/>
    <w:rsid w:val="6BDB1D3D"/>
    <w:rsid w:val="6C252E96"/>
    <w:rsid w:val="6C2E4F39"/>
    <w:rsid w:val="6D1125C3"/>
    <w:rsid w:val="6DB92EAD"/>
    <w:rsid w:val="6E2A15D6"/>
    <w:rsid w:val="6ECF1837"/>
    <w:rsid w:val="70F10065"/>
    <w:rsid w:val="71E32481"/>
    <w:rsid w:val="72840E99"/>
    <w:rsid w:val="7305523B"/>
    <w:rsid w:val="74557906"/>
    <w:rsid w:val="751102EA"/>
    <w:rsid w:val="758B375D"/>
    <w:rsid w:val="75AE5A89"/>
    <w:rsid w:val="763B661C"/>
    <w:rsid w:val="763C3364"/>
    <w:rsid w:val="767D6741"/>
    <w:rsid w:val="7681440F"/>
    <w:rsid w:val="76A04F85"/>
    <w:rsid w:val="79F302E6"/>
    <w:rsid w:val="7A5E5E26"/>
    <w:rsid w:val="7A90755C"/>
    <w:rsid w:val="7A9C4E3B"/>
    <w:rsid w:val="7AB25A26"/>
    <w:rsid w:val="7B0251FF"/>
    <w:rsid w:val="7BBF69BE"/>
    <w:rsid w:val="7BE77E23"/>
    <w:rsid w:val="7C7546F5"/>
    <w:rsid w:val="7DBF212E"/>
    <w:rsid w:val="7EE26BAE"/>
    <w:rsid w:val="7F0D0BD5"/>
    <w:rsid w:val="7F234B39"/>
    <w:rsid w:val="7F2A5A08"/>
    <w:rsid w:val="7F663F4B"/>
    <w:rsid w:val="7F7E43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3">
    <w:name w:val="heading 2"/>
    <w:basedOn w:val="1"/>
    <w:next w:val="4"/>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Normal Indent"/>
    <w:qFormat/>
    <w:uiPriority w:val="0"/>
    <w:pPr>
      <w:widowControl w:val="0"/>
      <w:ind w:firstLine="420" w:firstLineChars="200"/>
      <w:jc w:val="both"/>
    </w:pPr>
    <w:rPr>
      <w:rFonts w:ascii="Times New Roman" w:hAnsi="Times New Roman" w:eastAsia="宋体" w:cs="Times New Roman"/>
      <w:kern w:val="2"/>
      <w:sz w:val="21"/>
      <w:szCs w:val="24"/>
      <w:lang w:val="en-US" w:eastAsia="zh-CN" w:bidi="ar-SA"/>
    </w:rPr>
  </w:style>
  <w:style w:type="paragraph" w:styleId="5">
    <w:name w:val="table of authorities"/>
    <w:basedOn w:val="1"/>
    <w:next w:val="1"/>
    <w:qFormat/>
    <w:uiPriority w:val="0"/>
    <w:pPr>
      <w:ind w:left="420" w:leftChars="200"/>
    </w:pPr>
  </w:style>
  <w:style w:type="paragraph" w:styleId="6">
    <w:name w:val="Body Text Indent"/>
    <w:basedOn w:val="1"/>
    <w:unhideWhenUsed/>
    <w:qFormat/>
    <w:uiPriority w:val="99"/>
    <w:pPr>
      <w:spacing w:after="120"/>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SA"/>
    </w:rPr>
  </w:style>
  <w:style w:type="paragraph" w:styleId="10">
    <w:name w:val="Title"/>
    <w:basedOn w:val="1"/>
    <w:next w:val="11"/>
    <w:qFormat/>
    <w:uiPriority w:val="0"/>
    <w:pPr>
      <w:numPr>
        <w:ilvl w:val="0"/>
        <w:numId w:val="0"/>
      </w:numPr>
      <w:tabs>
        <w:tab w:val="left" w:pos="0"/>
      </w:tabs>
      <w:spacing w:beforeLines="0" w:beforeAutospacing="0" w:afterLines="0" w:afterAutospacing="0" w:line="600" w:lineRule="exact"/>
      <w:ind w:firstLineChars="0"/>
      <w:jc w:val="center"/>
      <w:outlineLvl w:val="0"/>
    </w:pPr>
    <w:rPr>
      <w:rFonts w:ascii="方正小标宋简体" w:hAnsi="方正小标宋简体" w:eastAsia="方正小标宋简体" w:cs="方正小标宋简体"/>
      <w:kern w:val="0"/>
      <w:sz w:val="36"/>
      <w:szCs w:val="36"/>
    </w:rPr>
  </w:style>
  <w:style w:type="paragraph" w:customStyle="1" w:styleId="11">
    <w:name w:val="A正文"/>
    <w:basedOn w:val="1"/>
    <w:qFormat/>
    <w:uiPriority w:val="0"/>
    <w:pPr>
      <w:spacing w:line="560" w:lineRule="exact"/>
      <w:ind w:firstLine="864" w:firstLineChars="200"/>
    </w:pPr>
  </w:style>
  <w:style w:type="paragraph" w:styleId="12">
    <w:name w:val="Body Text First Indent 2"/>
    <w:basedOn w:val="6"/>
    <w:next w:val="13"/>
    <w:qFormat/>
    <w:uiPriority w:val="0"/>
    <w:pPr>
      <w:ind w:firstLine="420" w:firstLineChars="200"/>
    </w:pPr>
  </w:style>
  <w:style w:type="paragraph" w:customStyle="1" w:styleId="13">
    <w:name w:val="Default"/>
    <w:qFormat/>
    <w:uiPriority w:val="0"/>
    <w:pPr>
      <w:widowControl w:val="0"/>
      <w:autoSpaceDE w:val="0"/>
      <w:autoSpaceDN w:val="0"/>
      <w:adjustRightInd w:val="0"/>
    </w:pPr>
    <w:rPr>
      <w:rFonts w:ascii="宋体_x0011_..哟.." w:hAnsi="Times New Roman" w:eastAsia="宋体_x0011_..哟.." w:cs="宋体_x0011_..哟.."/>
      <w:color w:val="000000"/>
      <w:sz w:val="24"/>
      <w:szCs w:val="24"/>
      <w:lang w:val="en-US" w:eastAsia="zh-CN" w:bidi="ar-SA"/>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paragraph" w:customStyle="1" w:styleId="18">
    <w:name w:val="UserStyle_0"/>
    <w:basedOn w:val="19"/>
    <w:next w:val="20"/>
    <w:qFormat/>
    <w:uiPriority w:val="0"/>
    <w:pPr>
      <w:ind w:firstLine="200" w:firstLineChars="200"/>
    </w:pPr>
  </w:style>
  <w:style w:type="paragraph" w:customStyle="1" w:styleId="19">
    <w:name w:val="UserStyle_1"/>
    <w:basedOn w:val="1"/>
    <w:qFormat/>
    <w:uiPriority w:val="0"/>
    <w:pPr>
      <w:ind w:left="200" w:leftChars="200"/>
      <w:textAlignment w:val="baseline"/>
    </w:pPr>
  </w:style>
  <w:style w:type="paragraph" w:customStyle="1" w:styleId="20">
    <w:name w:val="HtmlNormal"/>
    <w:basedOn w:val="1"/>
    <w:next w:val="1"/>
    <w:qFormat/>
    <w:uiPriority w:val="0"/>
    <w:pPr>
      <w:spacing w:before="100" w:beforeAutospacing="1" w:after="100" w:afterAutospacing="1"/>
      <w:jc w:val="left"/>
      <w:textAlignment w:val="baseline"/>
    </w:pPr>
    <w:rPr>
      <w:rFonts w:ascii="Calibri" w:hAnsi="Calibri"/>
      <w:kern w:val="0"/>
      <w:sz w:val="24"/>
    </w:rPr>
  </w:style>
  <w:style w:type="paragraph" w:customStyle="1" w:styleId="21">
    <w:name w:val="正文首行缩进 21"/>
    <w:basedOn w:val="22"/>
    <w:next w:val="9"/>
    <w:qFormat/>
    <w:uiPriority w:val="0"/>
    <w:pPr>
      <w:ind w:firstLine="200" w:firstLineChars="200"/>
    </w:pPr>
  </w:style>
  <w:style w:type="paragraph" w:customStyle="1" w:styleId="22">
    <w:name w:val="正文文本缩进1"/>
    <w:basedOn w:val="1"/>
    <w:qFormat/>
    <w:uiPriority w:val="0"/>
    <w:pPr>
      <w:ind w:left="200" w:leftChars="200"/>
    </w:pPr>
  </w:style>
  <w:style w:type="paragraph" w:customStyle="1" w:styleId="23">
    <w:name w:val="正文3"/>
    <w:qFormat/>
    <w:uiPriority w:val="0"/>
    <w:pPr>
      <w:spacing w:line="500" w:lineRule="exact"/>
      <w:ind w:firstLine="200" w:firstLineChars="200"/>
    </w:pPr>
    <w:rPr>
      <w:rFonts w:ascii="Times New Roman" w:hAnsi="Times New Roman" w:eastAsia="宋体" w:cs="Times New Roman"/>
      <w:b/>
      <w:bCs/>
      <w:snapToGrid w:val="0"/>
      <w:color w:val="000000"/>
      <w:sz w:val="21"/>
      <w:szCs w:val="22"/>
      <w:lang w:val="en-US" w:eastAsia="zh-CN" w:bidi="ar-SA"/>
    </w:rPr>
  </w:style>
  <w:style w:type="paragraph" w:styleId="24">
    <w:name w:val="List Paragraph"/>
    <w:basedOn w:val="1"/>
    <w:qFormat/>
    <w:uiPriority w:val="34"/>
    <w:pPr>
      <w:ind w:firstLine="420" w:firstLineChars="200"/>
    </w:pPr>
  </w:style>
  <w:style w:type="character" w:customStyle="1" w:styleId="25">
    <w:name w:val="NormalCharacter"/>
    <w:semiHidden/>
    <w:qFormat/>
    <w:uiPriority w:val="0"/>
  </w:style>
  <w:style w:type="paragraph" w:customStyle="1" w:styleId="26">
    <w:name w:val="Normal Indent"/>
    <w:basedOn w:val="1"/>
    <w:qFormat/>
    <w:uiPriority w:val="0"/>
    <w:pPr>
      <w:ind w:firstLine="420" w:firstLineChars="200"/>
    </w:pPr>
  </w:style>
  <w:style w:type="paragraph" w:customStyle="1" w:styleId="27">
    <w:name w:val="_Style 1"/>
    <w:qFormat/>
    <w:uiPriority w:val="1"/>
    <w:pPr>
      <w:widowControl w:val="0"/>
      <w:jc w:val="both"/>
    </w:pPr>
    <w:rPr>
      <w:rFonts w:ascii="Calibri" w:hAnsi="Calibri" w:eastAsia="宋体" w:cs="Times New Roman"/>
      <w:kern w:val="2"/>
      <w:sz w:val="21"/>
      <w:szCs w:val="22"/>
      <w:lang w:val="en-US" w:eastAsia="zh-CN" w:bidi="ar-SA"/>
    </w:rPr>
  </w:style>
  <w:style w:type="paragraph" w:customStyle="1" w:styleId="28">
    <w:name w:val="No Spacing_ad81b47b-6779-4c76-b471-79375858c8cb"/>
    <w:basedOn w:val="1"/>
    <w:qFormat/>
    <w:uiPriority w:val="0"/>
    <w:pPr>
      <w:ind w:firstLine="200" w:firstLineChars="200"/>
    </w:pPr>
    <w:rPr>
      <w:rFonts w:ascii="Times New Roman" w:hAnsi="Times New Roman" w:eastAsia="宋体" w:cs="Times New Roman"/>
    </w:rPr>
  </w:style>
  <w:style w:type="paragraph" w:customStyle="1" w:styleId="29">
    <w:name w:val="Body text|1"/>
    <w:basedOn w:val="1"/>
    <w:qFormat/>
    <w:uiPriority w:val="0"/>
    <w:pPr>
      <w:widowControl w:val="0"/>
      <w:shd w:val="clear" w:color="auto" w:fill="auto"/>
      <w:spacing w:line="463" w:lineRule="auto"/>
      <w:ind w:firstLine="400"/>
    </w:pPr>
    <w:rPr>
      <w:rFonts w:ascii="宋体" w:hAnsi="宋体" w:eastAsia="宋体" w:cs="宋体"/>
      <w:sz w:val="26"/>
      <w:szCs w:val="26"/>
      <w:u w:val="none"/>
      <w:shd w:val="clear" w:color="auto" w:fill="auto"/>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7975</Words>
  <Characters>8487</Characters>
  <Lines>0</Lines>
  <Paragraphs>0</Paragraphs>
  <TotalTime>3</TotalTime>
  <ScaleCrop>false</ScaleCrop>
  <LinksUpToDate>false</LinksUpToDate>
  <CharactersWithSpaces>8514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2019-05-21T03:36:00Z</dcterms:created>
  <dc:creator>admin</dc:creator>
  <cp:lastModifiedBy>也许注啶</cp:lastModifiedBy>
  <cp:lastPrinted>2024-06-11T02:09:00Z</cp:lastPrinted>
  <dcterms:modified xsi:type="dcterms:W3CDTF">2024-07-09T02:10:57Z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B0C46CBACA3E4C6D8A4AB3E3561B7047_13</vt:lpwstr>
  </property>
</Properties>
</file>