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textAlignment w:val="baseline"/>
        <w:outlineLvl w:val="9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县国资局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021</w:t>
      </w:r>
      <w:r>
        <w:rPr>
          <w:rFonts w:hint="eastAsia" w:ascii="方正小标宋简体" w:hAnsi="方正小标宋简体" w:eastAsia="方正小标宋简体" w:cs="方正小标宋简体"/>
          <w:spacing w:val="-25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年政务公开工作要点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28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《襄垣县</w:t>
      </w:r>
      <w:r>
        <w:rPr>
          <w:rFonts w:hint="eastAsia" w:ascii="仿宋_GB2312" w:hAnsi="仿宋_GB2312" w:eastAsia="仿宋_GB2312" w:cs="仿宋_GB2312"/>
          <w:b w:val="0"/>
          <w:bCs w:val="0"/>
          <w:spacing w:val="-9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年政务公开工作要点》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eastAsia="zh-CN"/>
        </w:rPr>
        <w:t>，结合国资实际，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现提出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 年政务公开工作要点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一、公开内容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一要公开政府信息公开审核、考核、发布、保密和责任追究制度。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二要公开局班子成员分工、主要职责、内设机构和权力清单。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三要每周坚持公开一周工作动态，每年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7月和次年1月更新计划总结，每季坚持更新一次通知公告。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四要公开涉及国资工作的党政法规、管理办法。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五要公开涉及国企职工利益的热点问题。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六要行政执法（监督）人员信息。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六要公开国有资产占用情况、部门预决算情况、企业财务重大信息情况。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7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公开渠道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局机关大厅设置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政务公开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专区,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及时公开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国资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政策解读</w:t>
      </w:r>
      <w:r>
        <w:rPr>
          <w:rFonts w:hint="eastAsia" w:ascii="仿宋_GB2312" w:hAnsi="仿宋_GB2312" w:eastAsia="仿宋_GB2312" w:cs="仿宋_GB2312"/>
          <w:b w:val="0"/>
          <w:bCs w:val="0"/>
          <w:spacing w:val="-2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政民互动</w:t>
      </w:r>
      <w:r>
        <w:rPr>
          <w:rFonts w:hint="eastAsia" w:ascii="仿宋_GB2312" w:hAnsi="仿宋_GB2312" w:eastAsia="仿宋_GB2312" w:cs="仿宋_GB2312"/>
          <w:b w:val="0"/>
          <w:bCs w:val="0"/>
          <w:spacing w:val="-2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政策咨询</w:t>
      </w:r>
      <w:r>
        <w:rPr>
          <w:rFonts w:hint="eastAsia" w:ascii="仿宋_GB2312" w:hAnsi="仿宋_GB2312" w:eastAsia="仿宋_GB2312" w:cs="仿宋_GB2312"/>
          <w:b w:val="0"/>
          <w:bCs w:val="0"/>
          <w:spacing w:val="-27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事项办理等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要加大公开力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度.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利用好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政府门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户网站为第一发布平台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eastAsia="zh-CN"/>
        </w:rPr>
        <w:t>的同时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充分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利用新闻发布会以及报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刊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广播、电视、新媒体等多种途径拓宽公开渠道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5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健全体制机制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783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14:textOutline w14:w="568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</w:t>
      </w:r>
      <w:r>
        <w:rPr>
          <w:rFonts w:hint="eastAsia" w:ascii="仿宋_GB2312" w:hAnsi="仿宋_GB2312" w:eastAsia="仿宋_GB2312" w:cs="仿宋_GB2312"/>
          <w:b w:val="0"/>
          <w:bCs w:val="0"/>
          <w:spacing w:val="-51"/>
          <w:sz w:val="32"/>
          <w:szCs w:val="32"/>
          <w14:textOutline w14:w="5685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14:textOutline w14:w="5685" w14:cap="flat" w14:cmpd="sng">
            <w14:solidFill>
              <w14:srgbClr w14:val="000000"/>
            </w14:solidFill>
            <w14:prstDash w14:val="solid"/>
            <w14:miter w14:val="0"/>
          </w14:textOutline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14:textOutline w14:w="5685" w14:cap="flat" w14:cmpd="sng">
            <w14:solidFill>
              <w14:srgbClr w14:val="000000"/>
            </w14:solidFill>
            <w14:prstDash w14:val="solid"/>
            <w14:miter w14:val="0"/>
          </w14:textOutline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14:textOutline w14:w="5685" w14:cap="flat" w14:cmpd="sng">
            <w14:solidFill>
              <w14:srgbClr w14:val="000000"/>
            </w14:solidFill>
            <w14:prstDash w14:val="solid"/>
            <w14:miter w14:val="0"/>
          </w14:textOutline>
        </w:rPr>
        <w:t>拟发公文属性认定</w:t>
      </w:r>
      <w:r>
        <w:rPr>
          <w:rFonts w:hint="eastAsia" w:ascii="仿宋_GB2312" w:hAnsi="仿宋_GB2312" w:eastAsia="仿宋_GB2312" w:cs="仿宋_GB2312"/>
          <w:b w:val="0"/>
          <w:bCs w:val="0"/>
          <w:spacing w:val="-51"/>
          <w:sz w:val="32"/>
          <w:szCs w:val="32"/>
          <w14:textOutline w14:w="568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规范填报《襄垣县人民政府办公室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文件签发卡》,</w:t>
      </w:r>
      <w:r>
        <w:rPr>
          <w:rFonts w:hint="eastAsia" w:ascii="仿宋_GB2312" w:hAnsi="仿宋_GB2312" w:eastAsia="仿宋_GB2312" w:cs="仿宋_GB2312"/>
          <w:b w:val="0"/>
          <w:bCs w:val="0"/>
          <w:spacing w:val="-1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实现拟稿单位撰稿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(审核)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领导审批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公文属性 认定一张表全覆盖,</w:t>
      </w:r>
      <w:r>
        <w:rPr>
          <w:rFonts w:hint="eastAsia" w:ascii="仿宋_GB2312" w:hAnsi="仿宋_GB2312" w:eastAsia="仿宋_GB2312" w:cs="仿宋_GB2312"/>
          <w:b w:val="0"/>
          <w:bCs w:val="0"/>
          <w:spacing w:val="-1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严防属性滥用现象. 上级政府或部门文件为主动公开的,</w:t>
      </w:r>
      <w:r>
        <w:rPr>
          <w:rFonts w:hint="eastAsia" w:ascii="仿宋_GB2312" w:hAnsi="仿宋_GB2312" w:eastAsia="仿宋_GB2312" w:cs="仿宋_GB2312"/>
          <w:b w:val="0"/>
          <w:bCs w:val="0"/>
          <w:spacing w:val="-13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公开属性原则上不得拟定为不予公开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对于确定为 涉密、不予公开和依申请公开的公文要定期审查,</w:t>
      </w:r>
      <w:r>
        <w:rPr>
          <w:rFonts w:hint="eastAsia" w:ascii="仿宋_GB2312" w:hAnsi="仿宋_GB2312" w:eastAsia="仿宋_GB2312" w:cs="仿宋_GB2312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并结合实际情况进行动态调整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792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完善依申请公开办理机制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要规范 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完善依申请公开的工作流程,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注重依申请公开的时效性,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依法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依规做好接收、登记 (编号)、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答复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归档等依申请公开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办理和答复工作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切实做到有申请必登记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有申请必答复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788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政府信息发布审核机制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要严格落实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三审三校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信息发布审核流程,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通过县政府门户网站及政务新媒体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新闻发布会</w:t>
      </w:r>
      <w:r>
        <w:rPr>
          <w:rFonts w:hint="eastAsia" w:ascii="仿宋_GB2312" w:hAnsi="仿宋_GB2312" w:eastAsia="仿宋_GB2312" w:cs="仿宋_GB2312"/>
          <w:b w:val="0"/>
          <w:bCs w:val="0"/>
          <w:spacing w:val="-58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新闻媒体等发布的政府信息要严格审核,</w:t>
      </w:r>
      <w:r>
        <w:rPr>
          <w:rFonts w:hint="eastAsia" w:ascii="仿宋_GB2312" w:hAnsi="仿宋_GB2312" w:eastAsia="仿宋_GB2312" w:cs="仿宋_GB2312"/>
          <w:b w:val="0"/>
          <w:bCs w:val="0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责任到人,</w:t>
      </w:r>
      <w:r>
        <w:rPr>
          <w:rFonts w:hint="eastAsia" w:ascii="仿宋_GB2312" w:hAnsi="仿宋_GB2312" w:eastAsia="仿宋_GB2312" w:cs="仿宋_GB2312"/>
          <w:b w:val="0"/>
          <w:bCs w:val="0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保障信息发布的严肃性、及时性、准确性和权威性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footerReference r:id="rId5" w:type="default"/>
      <w:pgSz w:w="11900" w:h="16840"/>
      <w:pgMar w:top="1431" w:right="1508" w:bottom="1727" w:left="1532" w:header="0" w:footer="14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firstLine="21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1527466"/>
    <w:rsid w:val="351B26EF"/>
    <w:rsid w:val="4F3A645F"/>
    <w:rsid w:val="6BEF92DA"/>
    <w:rsid w:val="7AEC0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2022-01-19T10:12:00Z</dcterms:created>
  <dc:creator>Lenovo</dc:creator>
  <cp:lastModifiedBy>user</cp:lastModifiedBy>
  <cp:lastPrinted>2022-01-19T15:36:00Z</cp:lastPrinted>
  <dcterms:modified xsi:type="dcterms:W3CDTF">2023-08-21T11:59:42Z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2022-01-18T11:27:26Z</vt:filetime>
  </property>
  <property fmtid="{D5CDD505-2E9C-101B-9397-08002B2CF9AE}" pid="4" name="KSOProductBuildVer">
    <vt:lpwstr>2052-11.8.2.9695</vt:lpwstr>
  </property>
</Properties>
</file>